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16" w:name="iota-web-guardian-roadmap-2026"/>
    <w:p>
      <w:pPr>
        <w:pStyle w:val="Heading1"/>
      </w:pPr>
      <w:r>
        <w:t xml:space="preserve">IOTA Web Guardian — Roadmap 2026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Version:</w:t>
      </w:r>
      <w:r>
        <w:t xml:space="preserve"> </w:t>
      </w:r>
      <w:r>
        <w:t xml:space="preserve">1.0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Date:</w:t>
      </w:r>
      <w:r>
        <w:t xml:space="preserve"> </w:t>
      </w:r>
      <w:r>
        <w:t xml:space="preserve">2026-04-28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Authors:</w:t>
      </w:r>
      <w:r>
        <w:t xml:space="preserve"> </w:t>
      </w:r>
      <w:r>
        <w:t xml:space="preserve">Niccolò, Paolo</w:t>
      </w:r>
    </w:p>
    <w:p>
      <w:r>
        <w:br w:type="page"/>
      </w:r>
    </w:p>
    <w:bookmarkStart w:id="9" w:name="direction"/>
    <w:p>
      <w:pPr>
        <w:pStyle w:val="Heading2"/>
      </w:pPr>
      <w:r>
        <w:t xml:space="preserve">1. Direction</w:t>
      </w:r>
    </w:p>
    <w:p>
      <w:pPr>
        <w:pStyle w:val="FirstParagraph"/>
      </w:pPr>
      <w:r>
        <w:t xml:space="preserve">From May to December 2026 IOTA Web Guardian adds no new features. We work on three parallel fronts: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Hardening</w:t>
      </w:r>
      <w:r>
        <w:t xml:space="preserve"> </w:t>
      </w:r>
      <w:r>
        <w:t xml:space="preserve">— measured performance, security, robustness of the distinction between human users and AI scrapers.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Web2 onboarding</w:t>
      </w:r>
      <w:r>
        <w:t xml:space="preserve"> </w:t>
      </w:r>
      <w:r>
        <w:t xml:space="preserve">— a non-crypto publisher must be able to install and use the system without ever seeing a wallet, a DID, or a seed phrase.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Distribution</w:t>
      </w:r>
      <w:r>
        <w:t xml:space="preserve"> </w:t>
      </w:r>
      <w:r>
        <w:t xml:space="preserve">— real pilot publishers, WordPress.org listing, case studies with real numbers.</w:t>
      </w:r>
    </w:p>
    <w:p>
      <w:pPr>
        <w:pStyle w:val="FirstParagraph"/>
      </w:pPr>
      <w:r>
        <w:t xml:space="preserve">The goal at year-end is to arrive with a measured, robust, and used system — not with new demos.</w:t>
      </w:r>
    </w:p>
    <w:p>
      <w:r>
        <w:br w:type="page"/>
      </w:r>
    </w:p>
    <w:bookmarkEnd w:id="9"/>
    <w:bookmarkStart w:id="10" w:name="q2-2026-may-and-june"/>
    <w:p>
      <w:pPr>
        <w:pStyle w:val="Heading2"/>
      </w:pPr>
      <w:r>
        <w:t xml:space="preserve">2. Q2 2026 — May and June</w:t>
      </w:r>
    </w:p>
    <w:p>
      <w:pPr>
        <w:pStyle w:val="FirstParagraph"/>
      </w:pPr>
      <w:r>
        <w:rPr>
          <w:b/>
          <w:bCs/>
        </w:rPr>
        <w:t xml:space="preserve">Goal:</w:t>
      </w:r>
      <w:r>
        <w:t xml:space="preserve"> </w:t>
      </w:r>
      <w:r>
        <w:t xml:space="preserve">turn the prototype into software a publisher can trust in production, and arrive prepared at the Berlin event.</w:t>
      </w:r>
    </w:p>
    <w:p>
      <w:pPr>
        <w:pStyle w:val="BodyText"/>
      </w:pPr>
      <w:r>
        <w:rPr>
          <w:b/>
          <w:bCs/>
        </w:rPr>
        <w:t xml:space="preserve">Deliverables by end of June:</w:t>
      </w:r>
    </w:p>
    <w:p>
      <w:pPr>
        <w:pStyle w:val="Compact"/>
        <w:numPr>
          <w:ilvl w:val="0"/>
          <w:numId w:val="1003"/>
        </w:numPr>
      </w:pPr>
      <w:r>
        <w:t xml:space="preserve">Public benchmark page with measured p50/p95/p99 latency (cold fetch, JWT cached path, on-chain settlement) on IOTA Rebased testnet.</w:t>
      </w:r>
    </w:p>
    <w:p>
      <w:pPr>
        <w:pStyle w:val="Compact"/>
        <w:numPr>
          <w:ilvl w:val="0"/>
          <w:numId w:val="1003"/>
        </w:numPr>
      </w:pPr>
      <w:r>
        <w:t xml:space="preserve">Internal threat model document covering the four main attack vectors (scraper masquerading as browser, false positive on humans, Verifiable Presentation replay, DID Sybil attack).</w:t>
      </w:r>
    </w:p>
    <w:p>
      <w:pPr>
        <w:pStyle w:val="Compact"/>
        <w:numPr>
          <w:ilvl w:val="0"/>
          <w:numId w:val="1003"/>
        </w:numPr>
      </w:pPr>
      <w:r>
        <w:t xml:space="preserve">Opt-in telemetry running: number of installs, scrapers blocked, revenue captured, false positives reported.</w:t>
      </w:r>
    </w:p>
    <w:p>
      <w:pPr>
        <w:pStyle w:val="Compact"/>
        <w:numPr>
          <w:ilvl w:val="0"/>
          <w:numId w:val="1003"/>
        </w:numPr>
      </w:pPr>
      <w:r>
        <w:t xml:space="preserve">Internal security review of the WordPress plugin completed.</w:t>
      </w:r>
    </w:p>
    <w:p>
      <w:pPr>
        <w:pStyle w:val="Compact"/>
        <w:numPr>
          <w:ilvl w:val="0"/>
          <w:numId w:val="1003"/>
        </w:numPr>
      </w:pPr>
      <w:r>
        <w:t xml:space="preserve">Stress test of the certifier: sustainable req/s, behavior under latency spikes, documented failure modes.</w:t>
      </w:r>
    </w:p>
    <w:p>
      <w:pPr>
        <w:pStyle w:val="Compact"/>
        <w:numPr>
          <w:ilvl w:val="0"/>
          <w:numId w:val="1003"/>
        </w:numPr>
      </w:pPr>
      <w:r>
        <w:t xml:space="preserve">Pitch deck and demo updated with real measured numbers, ready for Berlin.</w:t>
      </w:r>
    </w:p>
    <w:p>
      <w:pPr>
        <w:pStyle w:val="FirstParagraph"/>
      </w:pPr>
      <w:r>
        <w:rPr>
          <w:b/>
          <w:bCs/>
        </w:rPr>
        <w:t xml:space="preserve">Milestone:</w:t>
      </w:r>
      <w:r>
        <w:t xml:space="preserve"> </w:t>
      </w:r>
      <w:r>
        <w:t xml:space="preserve">Berlin event, June 2026.</w:t>
      </w:r>
    </w:p>
    <w:p>
      <w:r>
        <w:br w:type="page"/>
      </w:r>
    </w:p>
    <w:bookmarkEnd w:id="10"/>
    <w:bookmarkStart w:id="11" w:name="q3-2026-july-august-september"/>
    <w:p>
      <w:pPr>
        <w:pStyle w:val="Heading2"/>
      </w:pPr>
      <w:r>
        <w:t xml:space="preserve">3. Q3 2026 — July, August, September</w:t>
      </w:r>
    </w:p>
    <w:p>
      <w:pPr>
        <w:pStyle w:val="FirstParagraph"/>
      </w:pPr>
      <w:r>
        <w:rPr>
          <w:b/>
          <w:bCs/>
        </w:rPr>
        <w:t xml:space="preserve">Goal:</w:t>
      </w:r>
      <w:r>
        <w:t xml:space="preserve"> </w:t>
      </w:r>
      <w:r>
        <w:t xml:space="preserve">make the system usable by a WordPress blogger who has never heard of blockchain, and harden the detection layer against bypass attempts.</w:t>
      </w:r>
    </w:p>
    <w:p>
      <w:pPr>
        <w:pStyle w:val="BodyText"/>
      </w:pPr>
      <w:r>
        <w:rPr>
          <w:b/>
          <w:bCs/>
        </w:rPr>
        <w:t xml:space="preserve">Web2 Onboarding — deliverables by end of September:</w:t>
      </w:r>
    </w:p>
    <w:p>
      <w:pPr>
        <w:pStyle w:val="Compact"/>
        <w:numPr>
          <w:ilvl w:val="0"/>
          <w:numId w:val="1004"/>
        </w:numPr>
      </w:pPr>
      <w:r>
        <w:t xml:space="preserve">Custodial mode by default: email/Google signup, wallet provisioned and held by a partner custodian (decision to be agreed with IOTA Foundation by July).</w:t>
      </w:r>
    </w:p>
    <w:p>
      <w:pPr>
        <w:pStyle w:val="Compact"/>
        <w:numPr>
          <w:ilvl w:val="0"/>
          <w:numId w:val="1004"/>
        </w:numPr>
      </w:pPr>
      <w:r>
        <w:t xml:space="preserve">Fiat off-ramp integrated: publisher dashboard in EUR/USD, withdrawal to PayPal / Stripe / SEPA. At least one on/off-ramp partner integrated.</w:t>
      </w:r>
    </w:p>
    <w:p>
      <w:pPr>
        <w:pStyle w:val="Compact"/>
        <w:numPr>
          <w:ilvl w:val="0"/>
          <w:numId w:val="1004"/>
        </w:numPr>
      </w:pPr>
      <w:r>
        <w:t xml:space="preserve">Measured setup wizard: install plugin → email confirmation → first scraper blocked, all in under 60 seconds on a fresh WordPress.</w:t>
      </w:r>
    </w:p>
    <w:p>
      <w:pPr>
        <w:pStyle w:val="Compact"/>
        <w:numPr>
          <w:ilvl w:val="0"/>
          <w:numId w:val="1004"/>
        </w:numPr>
      </w:pPr>
      <w:r>
        <w:t xml:space="preserve">Human-friendly UI: pricing in euros/dollars per 1000 visits, zero blockchain jargon on the first screen. Advanced view available on demand.</w:t>
      </w:r>
    </w:p>
    <w:p>
      <w:pPr>
        <w:pStyle w:val="Compact"/>
        <w:numPr>
          <w:ilvl w:val="0"/>
          <w:numId w:val="1004"/>
        </w:numPr>
      </w:pPr>
      <w:r>
        <w:t xml:space="preserve">“Export to self-custody”</w:t>
      </w:r>
      <w:r>
        <w:t xml:space="preserve"> </w:t>
      </w:r>
      <w:r>
        <w:t xml:space="preserve">path available with one click for users who want to control their keys.</w:t>
      </w:r>
    </w:p>
    <w:p>
      <w:pPr>
        <w:pStyle w:val="FirstParagraph"/>
      </w:pPr>
      <w:r>
        <w:rPr>
          <w:b/>
          <w:bCs/>
        </w:rPr>
        <w:t xml:space="preserve">Detection Hardening — deliverables by end of September:</w:t>
      </w:r>
    </w:p>
    <w:p>
      <w:pPr>
        <w:pStyle w:val="Compact"/>
        <w:numPr>
          <w:ilvl w:val="0"/>
          <w:numId w:val="1005"/>
        </w:numPr>
      </w:pPr>
      <w:r>
        <w:t xml:space="preserve">TLS fingerprinting (JA4) integrated at the certifier edge, distinguishing real Chrome from headless Chromium / curl / Python requests.</w:t>
      </w:r>
    </w:p>
    <w:p>
      <w:pPr>
        <w:pStyle w:val="Compact"/>
        <w:numPr>
          <w:ilvl w:val="0"/>
          <w:numId w:val="1005"/>
        </w:numPr>
      </w:pPr>
      <w:r>
        <w:t xml:space="preserve">Behavioral signals active: missing CSS/JS fetch after HTML, missing internal referrer chain, abnormal request rate per session.</w:t>
      </w:r>
    </w:p>
    <w:p>
      <w:pPr>
        <w:pStyle w:val="Compact"/>
        <w:numPr>
          <w:ilvl w:val="0"/>
          <w:numId w:val="1005"/>
        </w:numPr>
      </w:pPr>
      <w:r>
        <w:t xml:space="preserve">Progressive proof-of-work challenge configurable per publisher (off / light / aggressive), invisible to humans, costly for mass scraping.</w:t>
      </w:r>
    </w:p>
    <w:p>
      <w:pPr>
        <w:pStyle w:val="Compact"/>
        <w:numPr>
          <w:ilvl w:val="0"/>
          <w:numId w:val="1005"/>
        </w:numPr>
      </w:pPr>
      <w:r>
        <w:t xml:space="preserve">Verifiable Presentations bound to nonce + timestamp + URL hash; JWT bound to IP+UA+DID with re-auth on context change. Replay made impossible.</w:t>
      </w:r>
    </w:p>
    <w:p>
      <w:pPr>
        <w:pStyle w:val="Compact"/>
        <w:numPr>
          <w:ilvl w:val="0"/>
          <w:numId w:val="1005"/>
        </w:numPr>
      </w:pPr>
      <w:r>
        <w:t xml:space="preserve">Verified allowlist of legitimate crawlers (Googlebot, Bingbot, Common Crawl, Wayback) via reverse-DNS, extendable by the publisher.</w:t>
      </w:r>
    </w:p>
    <w:p>
      <w:pPr>
        <w:pStyle w:val="Compact"/>
        <w:numPr>
          <w:ilvl w:val="0"/>
          <w:numId w:val="1005"/>
        </w:numPr>
      </w:pPr>
      <w:r>
        <w:t xml:space="preserve">“I am human”</w:t>
      </w:r>
      <w:r>
        <w:t xml:space="preserve"> </w:t>
      </w:r>
      <w:r>
        <w:t xml:space="preserve">path always available for accessibility cases and false positives.</w:t>
      </w:r>
    </w:p>
    <w:p>
      <w:r>
        <w:br w:type="page"/>
      </w:r>
    </w:p>
    <w:bookmarkEnd w:id="11"/>
    <w:bookmarkStart w:id="12" w:name="q4-2026-october-november-december"/>
    <w:p>
      <w:pPr>
        <w:pStyle w:val="Heading2"/>
      </w:pPr>
      <w:r>
        <w:t xml:space="preserve">4. Q4 2026 — October, November, December</w:t>
      </w:r>
    </w:p>
    <w:p>
      <w:pPr>
        <w:pStyle w:val="FirstParagraph"/>
      </w:pPr>
      <w:r>
        <w:rPr>
          <w:b/>
          <w:bCs/>
        </w:rPr>
        <w:t xml:space="preserve">Goal:</w:t>
      </w:r>
      <w:r>
        <w:t xml:space="preserve"> </w:t>
      </w:r>
      <w:r>
        <w:t xml:space="preserve">close the year with field proof, external validation, and material for the next step of growth.</w:t>
      </w:r>
    </w:p>
    <w:p>
      <w:pPr>
        <w:pStyle w:val="BodyText"/>
      </w:pPr>
      <w:r>
        <w:rPr>
          <w:b/>
          <w:bCs/>
        </w:rPr>
        <w:t xml:space="preserve">Deliverables by end of December:</w:t>
      </w:r>
    </w:p>
    <w:p>
      <w:pPr>
        <w:pStyle w:val="Compact"/>
        <w:numPr>
          <w:ilvl w:val="0"/>
          <w:numId w:val="1006"/>
        </w:numPr>
      </w:pPr>
      <w:r>
        <w:t xml:space="preserve">Ten real publishers onboarded (not friends-and-family): independent tech blogs, small EU/IT independent media, niche docs sites. Each running for at least 30 days with shared telemetry.</w:t>
      </w:r>
    </w:p>
    <w:p>
      <w:pPr>
        <w:pStyle w:val="Compact"/>
        <w:numPr>
          <w:ilvl w:val="0"/>
          <w:numId w:val="1006"/>
        </w:numPr>
      </w:pPr>
      <w:r>
        <w:t xml:space="preserve">Three written case studies with real numbers: revenue captured, scrapers blocked, uptime, user-side conversion friction.</w:t>
      </w:r>
    </w:p>
    <w:p>
      <w:pPr>
        <w:pStyle w:val="Compact"/>
        <w:numPr>
          <w:ilvl w:val="0"/>
          <w:numId w:val="1006"/>
        </w:numPr>
      </w:pPr>
      <w:r>
        <w:t xml:space="preserve">Plugin submitted to WordPress.org in October and listed on the official marketplace by year-end.</w:t>
      </w:r>
    </w:p>
    <w:p>
      <w:pPr>
        <w:pStyle w:val="Compact"/>
        <w:numPr>
          <w:ilvl w:val="0"/>
          <w:numId w:val="1006"/>
        </w:numPr>
      </w:pPr>
      <w:r>
        <w:t xml:space="preserve">Publisher-grade documentation: video tutorial in Italian and English (5–10 minutes, from install to first revenue), FAQ, troubleshooting,</w:t>
      </w:r>
      <w:r>
        <w:t xml:space="preserve"> </w:t>
      </w:r>
      <w:r>
        <w:t xml:space="preserve">“exit story”</w:t>
      </w:r>
      <w:r>
        <w:t xml:space="preserve"> </w:t>
      </w:r>
      <w:r>
        <w:t xml:space="preserve">explaining how to leave the system without lock-in.</w:t>
      </w:r>
    </w:p>
    <w:p>
      <w:pPr>
        <w:pStyle w:val="Compact"/>
        <w:numPr>
          <w:ilvl w:val="0"/>
          <w:numId w:val="1006"/>
        </w:numPr>
      </w:pPr>
      <w:r>
        <w:t xml:space="preserve">Reference SDK or integrable example for legitimate AI agents that want to pay via x402 (demand side of the market).</w:t>
      </w:r>
    </w:p>
    <w:p>
      <w:pPr>
        <w:pStyle w:val="Compact"/>
        <w:numPr>
          <w:ilvl w:val="0"/>
          <w:numId w:val="1006"/>
        </w:numPr>
      </w:pPr>
      <w:r>
        <w:t xml:space="preserve">Public bug bounty program open, even with a modest budget, as a signal of openness to scrutiny.</w:t>
      </w:r>
    </w:p>
    <w:p>
      <w:pPr>
        <w:pStyle w:val="Compact"/>
        <w:numPr>
          <w:ilvl w:val="0"/>
          <w:numId w:val="1006"/>
        </w:numPr>
      </w:pPr>
      <w:r>
        <w:t xml:space="preserve">Light external security audit (1 week) of the detection flow, conducted by a specialist freelancer.</w:t>
      </w:r>
    </w:p>
    <w:p>
      <w:pPr>
        <w:pStyle w:val="Compact"/>
        <w:numPr>
          <w:ilvl w:val="0"/>
          <w:numId w:val="1006"/>
        </w:numPr>
      </w:pPr>
      <w:r>
        <w:t xml:space="preserve">Public whitepaper on the methodology for distinguishing human users from AI agents, peer-reviewable.</w:t>
      </w:r>
    </w:p>
    <w:p>
      <w:pPr>
        <w:pStyle w:val="Compact"/>
        <w:numPr>
          <w:ilvl w:val="0"/>
          <w:numId w:val="1006"/>
        </w:numPr>
      </w:pPr>
      <w:r>
        <w:t xml:space="preserve">Year-end report with aggregate metrics: sites onboarded, scrapers blocked, revenue redistributed to publishers, measured latency. Material ready for the next step (round / IOTA Foundation grant continuation).</w:t>
      </w:r>
    </w:p>
    <w:p>
      <w:r>
        <w:br w:type="page"/>
      </w:r>
    </w:p>
    <w:bookmarkEnd w:id="12"/>
    <w:bookmarkStart w:id="13" w:name="year-end-indicators"/>
    <w:p>
      <w:pPr>
        <w:pStyle w:val="Heading2"/>
      </w:pPr>
      <w:r>
        <w:t xml:space="preserve">5. Year-End Indicators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Indicator</w:t>
            </w:r>
          </w:p>
        </w:tc>
        <w:tc>
          <w:tcPr/>
          <w:p>
            <w:pPr>
              <w:pStyle w:val="Compact"/>
            </w:pPr>
            <w:r>
              <w:t xml:space="preserve">Target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Real publishers onboarded</w:t>
            </w:r>
          </w:p>
        </w:tc>
        <w:tc>
          <w:tcPr/>
          <w:p>
            <w:pPr>
              <w:pStyle w:val="Compact"/>
            </w:pPr>
            <w:r>
              <w:t xml:space="preserve">≥ 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Plugin listed on WordPress.org</w:t>
            </w:r>
          </w:p>
        </w:tc>
        <w:tc>
          <w:tcPr/>
          <w:p>
            <w:pPr>
              <w:pStyle w:val="Compact"/>
            </w:pPr>
            <w:r>
              <w:t xml:space="preserve">Live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Public benchmark with measured p50/p95/p99</w:t>
            </w:r>
          </w:p>
        </w:tc>
        <w:tc>
          <w:tcPr/>
          <w:p>
            <w:pPr>
              <w:pStyle w:val="Compact"/>
            </w:pPr>
            <w:r>
              <w:t xml:space="preserve">Published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External light security audit</w:t>
            </w:r>
          </w:p>
        </w:tc>
        <w:tc>
          <w:tcPr/>
          <w:p>
            <w:pPr>
              <w:pStyle w:val="Compact"/>
            </w:pPr>
            <w:r>
              <w:t xml:space="preserve">Completed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Whitepaper on detection methodology</w:t>
            </w:r>
          </w:p>
        </w:tc>
        <w:tc>
          <w:tcPr/>
          <w:p>
            <w:pPr>
              <w:pStyle w:val="Compact"/>
            </w:pPr>
            <w:r>
              <w:t xml:space="preserve">Published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Custodian / on-ramp partner integrated</w:t>
            </w:r>
          </w:p>
        </w:tc>
        <w:tc>
          <w:tcPr/>
          <w:p>
            <w:pPr>
              <w:pStyle w:val="Compact"/>
            </w:pPr>
            <w:r>
              <w:t xml:space="preserve">At least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Case studies with real numbers</w:t>
            </w:r>
          </w:p>
        </w:tc>
        <w:tc>
          <w:tcPr/>
          <w:p>
            <w:pPr>
              <w:pStyle w:val="Compact"/>
            </w:pPr>
            <w:r>
              <w:t xml:space="preserve">≥ 3</w:t>
            </w:r>
          </w:p>
        </w:tc>
      </w:tr>
      <w:tr>
        <w:tc>
          <w:tcPr/>
          <w:p>
            <w:pPr>
              <w:pStyle w:val="Compact"/>
            </w:pPr>
            <w:r>
              <w:t xml:space="preserve">Known bypass vectors mitigated to</w:t>
            </w:r>
            <w:r>
              <w:t xml:space="preserve"> </w:t>
            </w:r>
            <w:r>
              <w:t xml:space="preserve">“non-economic”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</w:tr>
    </w:tbl>
    <w:p>
      <w:r>
        <w:br w:type="page"/>
      </w:r>
    </w:p>
    <w:bookmarkEnd w:id="13"/>
    <w:bookmarkStart w:id="14" w:name="working-principles"/>
    <w:p>
      <w:pPr>
        <w:pStyle w:val="Heading2"/>
      </w:pPr>
      <w:r>
        <w:t xml:space="preserve">6. Working Principles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No new features until December.</w:t>
      </w:r>
      <w:r>
        <w:t xml:space="preserve"> </w:t>
      </w:r>
      <w:r>
        <w:t xml:space="preserve">Any external request goes to a 2027 backlog.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Web2 first impression, Web3 underneath.</w:t>
      </w:r>
      <w:r>
        <w:t xml:space="preserve"> </w:t>
      </w:r>
      <w:r>
        <w:t xml:space="preserve">Publishers should never have to see a DID unless they want to.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Every published number is measured.</w:t>
      </w:r>
      <w:r>
        <w:t xml:space="preserve"> </w:t>
      </w:r>
      <w:r>
        <w:t xml:space="preserve">No estimates, no placeholders.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Detection is the foundation.</w:t>
      </w:r>
      <w:r>
        <w:t xml:space="preserve"> </w:t>
      </w:r>
      <w:r>
        <w:t xml:space="preserve">If the distinction between humans and scrapers is not robust, everything else loses value. We work on it continuously, every quarter.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Honesty about scope.</w:t>
      </w:r>
      <w:r>
        <w:t xml:space="preserve"> </w:t>
      </w:r>
      <w:r>
        <w:t xml:space="preserve">We do not promise unbeatability: we change the economic incentive, making scraping more expensive than paying.</w:t>
      </w:r>
    </w:p>
    <w:p>
      <w:r>
        <w:br w:type="page"/>
      </w:r>
    </w:p>
    <w:bookmarkEnd w:id="14"/>
    <w:bookmarkStart w:id="15" w:name="coordination"/>
    <w:p>
      <w:pPr>
        <w:pStyle w:val="Heading2"/>
      </w:pPr>
      <w:r>
        <w:t xml:space="preserve">7. Coordination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Niccolò:</w:t>
      </w:r>
      <w:r>
        <w:t xml:space="preserve"> </w:t>
      </w:r>
      <w:r>
        <w:t xml:space="preserve">lead on performance, security, infrastructure, detection robustness, audits.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Paolo:</w:t>
      </w:r>
      <w:r>
        <w:t xml:space="preserve"> </w:t>
      </w:r>
      <w:r>
        <w:t xml:space="preserve">lead on WordPress UX, onboarding, publisher documentation, marketplace, distribution, pilot publishers.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Both:</w:t>
      </w:r>
      <w:r>
        <w:t xml:space="preserve"> </w:t>
      </w:r>
      <w:r>
        <w:t xml:space="preserve">pitch deck, Berlin event, IOTA Foundation relationship, year-end report.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Proposed cadence with IOTA Foundation:</w:t>
      </w:r>
      <w:r>
        <w:t xml:space="preserve"> </w:t>
      </w:r>
      <w:r>
        <w:t xml:space="preserve">monthly progress check-in, extended re-sync after Berlin.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2026-04-28T08:47:03Z</dcterms:created>
  <dcterms:modified xsi:type="dcterms:W3CDTF">2026-04-28T08:47:03Z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