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6" w:name="iota-web-guardian-roadmap-2026"/>
    <w:p>
      <w:pPr>
        <w:pStyle w:val="Heading1"/>
      </w:pPr>
      <w:r>
        <w:t xml:space="preserve">IOTA Web Guardian — Roadmap 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Versione:</w:t>
      </w:r>
      <w:r>
        <w:t xml:space="preserve"> </w:t>
      </w:r>
      <w:r>
        <w:t xml:space="preserve">1.0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Data:</w:t>
      </w:r>
      <w:r>
        <w:t xml:space="preserve"> </w:t>
      </w:r>
      <w:r>
        <w:t xml:space="preserve">28 aprile 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Autori:</w:t>
      </w:r>
      <w:r>
        <w:t xml:space="preserve"> </w:t>
      </w:r>
      <w:r>
        <w:t xml:space="preserve">Niccolò, Paolo</w:t>
      </w:r>
    </w:p>
    <w:p>
      <w:r>
        <w:br w:type="page"/>
      </w:r>
    </w:p>
    <w:bookmarkStart w:id="9" w:name="direzione"/>
    <w:p>
      <w:pPr>
        <w:pStyle w:val="Heading2"/>
      </w:pPr>
      <w:r>
        <w:t xml:space="preserve">1. Direzione</w:t>
      </w:r>
    </w:p>
    <w:p>
      <w:pPr>
        <w:pStyle w:val="FirstParagraph"/>
      </w:pPr>
      <w:r>
        <w:t xml:space="preserve">Da maggio a dicembre 2026 IOTA Web Guardian non aggiunge nuove feature. Lavoriamo su tre fronti, in parallelo: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Hardening</w:t>
      </w:r>
      <w:r>
        <w:t xml:space="preserve"> </w:t>
      </w:r>
      <w:r>
        <w:t xml:space="preserve">— performance misurate, sicurezza, robustezza della distinzione tra utenti umani e AI scraper.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Web2 onboarding</w:t>
      </w:r>
      <w:r>
        <w:t xml:space="preserve"> </w:t>
      </w:r>
      <w:r>
        <w:t xml:space="preserve">— un publisher non-crypto deve poter installare e usare il sistema senza vedere wallet, DID o seed phrase.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Distribuzione</w:t>
      </w:r>
      <w:r>
        <w:t xml:space="preserve"> </w:t>
      </w:r>
      <w:r>
        <w:t xml:space="preserve">— publisher pilota reali, listing su WordPress.org, case study con numeri.</w:t>
      </w:r>
    </w:p>
    <w:p>
      <w:pPr>
        <w:pStyle w:val="FirstParagraph"/>
      </w:pPr>
      <w:r>
        <w:t xml:space="preserve">L’obiettivo a fine anno è arrivare con un sistema misurato, robusto e usato — non con nuove demo.</w:t>
      </w:r>
    </w:p>
    <w:p>
      <w:r>
        <w:br w:type="page"/>
      </w:r>
    </w:p>
    <w:bookmarkEnd w:id="9"/>
    <w:bookmarkStart w:id="10" w:name="q2-2026-maggio-e-giugno"/>
    <w:p>
      <w:pPr>
        <w:pStyle w:val="Heading2"/>
      </w:pPr>
      <w:r>
        <w:t xml:space="preserve">2. Q2 2026 — Maggio e Giugno</w:t>
      </w:r>
    </w:p>
    <w:p>
      <w:pPr>
        <w:pStyle w:val="FirstParagraph"/>
      </w:pPr>
      <w:r>
        <w:rPr>
          <w:b/>
          <w:bCs/>
        </w:rPr>
        <w:t xml:space="preserve">Obiettivo:</w:t>
      </w:r>
      <w:r>
        <w:t xml:space="preserve"> </w:t>
      </w:r>
      <w:r>
        <w:t xml:space="preserve">trasformare il prototipo in un software di cui un publisher si fida in produzione, e arrivare preparati all’evento di Berlino.</w:t>
      </w:r>
    </w:p>
    <w:p>
      <w:pPr>
        <w:pStyle w:val="BodyText"/>
      </w:pPr>
      <w:r>
        <w:rPr>
          <w:b/>
          <w:bCs/>
        </w:rPr>
        <w:t xml:space="preserve">Cosa consegniamo entro fine giugno:</w:t>
      </w:r>
    </w:p>
    <w:p>
      <w:pPr>
        <w:pStyle w:val="Compact"/>
        <w:numPr>
          <w:ilvl w:val="0"/>
          <w:numId w:val="1003"/>
        </w:numPr>
      </w:pPr>
      <w:r>
        <w:t xml:space="preserve">Pagina pubblica di benchmark con latenza misurata p50/p95/p99 (cold fetch, JWT cached path, settlement on-chain) su IOTA Rebased testnet.</w:t>
      </w:r>
    </w:p>
    <w:p>
      <w:pPr>
        <w:pStyle w:val="Compact"/>
        <w:numPr>
          <w:ilvl w:val="0"/>
          <w:numId w:val="1003"/>
        </w:numPr>
      </w:pPr>
      <w:r>
        <w:t xml:space="preserve">Documento interno di threat model che copre i quattro vettori d’attacco principali (scraper mascherato da browser, falso positivo su utenti umani, replay di Verifiable Presentation, Sybil attack sui DID).</w:t>
      </w:r>
    </w:p>
    <w:p>
      <w:pPr>
        <w:pStyle w:val="Compact"/>
        <w:numPr>
          <w:ilvl w:val="0"/>
          <w:numId w:val="1003"/>
        </w:numPr>
      </w:pPr>
      <w:r>
        <w:t xml:space="preserve">Telemetria opt-in attiva: numero di installazioni, scraper bloccati, ricavi catturati, falsi positivi segnalati.</w:t>
      </w:r>
    </w:p>
    <w:p>
      <w:pPr>
        <w:pStyle w:val="Compact"/>
        <w:numPr>
          <w:ilvl w:val="0"/>
          <w:numId w:val="1003"/>
        </w:numPr>
      </w:pPr>
      <w:r>
        <w:t xml:space="preserve">Security review interna del plugin WordPress completata.</w:t>
      </w:r>
    </w:p>
    <w:p>
      <w:pPr>
        <w:pStyle w:val="Compact"/>
        <w:numPr>
          <w:ilvl w:val="0"/>
          <w:numId w:val="1003"/>
        </w:numPr>
      </w:pPr>
      <w:r>
        <w:t xml:space="preserve">Stress test del certifier: req/s sostenibili, comportamento sotto latency spike, failure mode documentati.</w:t>
      </w:r>
    </w:p>
    <w:p>
      <w:pPr>
        <w:pStyle w:val="Compact"/>
        <w:numPr>
          <w:ilvl w:val="0"/>
          <w:numId w:val="1003"/>
        </w:numPr>
      </w:pPr>
      <w:r>
        <w:t xml:space="preserve">Pitch deck e demo aggiornati con i numeri reali misurati, pronti per Berlino.</w:t>
      </w:r>
    </w:p>
    <w:p>
      <w:pPr>
        <w:pStyle w:val="FirstParagraph"/>
      </w:pPr>
      <w:r>
        <w:rPr>
          <w:b/>
          <w:bCs/>
        </w:rPr>
        <w:t xml:space="preserve">Milestone:</w:t>
      </w:r>
      <w:r>
        <w:t xml:space="preserve"> </w:t>
      </w:r>
      <w:r>
        <w:t xml:space="preserve">evento Berlino, giugno 2026.</w:t>
      </w:r>
    </w:p>
    <w:p>
      <w:r>
        <w:br w:type="page"/>
      </w:r>
    </w:p>
    <w:bookmarkEnd w:id="10"/>
    <w:bookmarkStart w:id="11" w:name="q3-2026-luglio-agosto-settembre"/>
    <w:p>
      <w:pPr>
        <w:pStyle w:val="Heading2"/>
      </w:pPr>
      <w:r>
        <w:t xml:space="preserve">3. Q3 2026 — Luglio, Agosto, Settembre</w:t>
      </w:r>
    </w:p>
    <w:p>
      <w:pPr>
        <w:pStyle w:val="FirstParagraph"/>
      </w:pPr>
      <w:r>
        <w:rPr>
          <w:b/>
          <w:bCs/>
        </w:rPr>
        <w:t xml:space="preserve">Obiettivo:</w:t>
      </w:r>
      <w:r>
        <w:t xml:space="preserve"> </w:t>
      </w:r>
      <w:r>
        <w:t xml:space="preserve">rendere il sistema utilizzabile da un blogger WordPress che non ha mai sentito parlare di blockchain, e irrobustire il livello di detection contro tentativi di bypass.</w:t>
      </w:r>
    </w:p>
    <w:p>
      <w:pPr>
        <w:pStyle w:val="BodyText"/>
      </w:pPr>
      <w:r>
        <w:rPr>
          <w:b/>
          <w:bCs/>
        </w:rPr>
        <w:t xml:space="preserve">Web2 Onboarding — cosa consegniamo entro fine settembre:</w:t>
      </w:r>
    </w:p>
    <w:p>
      <w:pPr>
        <w:pStyle w:val="Compact"/>
        <w:numPr>
          <w:ilvl w:val="0"/>
          <w:numId w:val="1004"/>
        </w:numPr>
      </w:pPr>
      <w:r>
        <w:t xml:space="preserve">Modalità custodial di default: registrazione via email/Google, wallet provisionato e custodito da un partner custodian (decisione da concordare con IOTA Foundation entro luglio).</w:t>
      </w:r>
    </w:p>
    <w:p>
      <w:pPr>
        <w:pStyle w:val="Compact"/>
        <w:numPr>
          <w:ilvl w:val="0"/>
          <w:numId w:val="1004"/>
        </w:numPr>
      </w:pPr>
      <w:r>
        <w:t xml:space="preserve">Off-ramp fiat integrato: dashboard del publisher in EUR/USD, prelievo verso PayPal / Stripe / SEPA. Almeno un partner di on/off-ramp integrato.</w:t>
      </w:r>
    </w:p>
    <w:p>
      <w:pPr>
        <w:pStyle w:val="Compact"/>
        <w:numPr>
          <w:ilvl w:val="0"/>
          <w:numId w:val="1004"/>
        </w:numPr>
      </w:pPr>
      <w:r>
        <w:t xml:space="preserve">Setup wizard misurato: install plugin → conferma email → primo scraper bloccato in meno di 60 secondi su un WordPress fresco.</w:t>
      </w:r>
    </w:p>
    <w:p>
      <w:pPr>
        <w:pStyle w:val="Compact"/>
        <w:numPr>
          <w:ilvl w:val="0"/>
          <w:numId w:val="1004"/>
        </w:numPr>
      </w:pPr>
      <w:r>
        <w:t xml:space="preserve">UI in linguaggio human-friendly: pricing in euro/dollari per 1000 visite, zero gergo blockchain in prima schermata. Vista avanzata disponibile su richiesta.</w:t>
      </w:r>
    </w:p>
    <w:p>
      <w:pPr>
        <w:pStyle w:val="Compact"/>
        <w:numPr>
          <w:ilvl w:val="0"/>
          <w:numId w:val="1004"/>
        </w:numPr>
      </w:pPr>
      <w:r>
        <w:t xml:space="preserve">Path</w:t>
      </w:r>
      <w:r>
        <w:t xml:space="preserve"> </w:t>
      </w:r>
      <w:r>
        <w:t xml:space="preserve">“export to self-custody”</w:t>
      </w:r>
      <w:r>
        <w:t xml:space="preserve"> </w:t>
      </w:r>
      <w:r>
        <w:t xml:space="preserve">disponibile con un click per chi vuole controllare le proprie chiavi.</w:t>
      </w:r>
    </w:p>
    <w:p>
      <w:pPr>
        <w:pStyle w:val="FirstParagraph"/>
      </w:pPr>
      <w:r>
        <w:rPr>
          <w:b/>
          <w:bCs/>
        </w:rPr>
        <w:t xml:space="preserve">Detection Hardening — cosa consegniamo entro fine settembre:</w:t>
      </w:r>
    </w:p>
    <w:p>
      <w:pPr>
        <w:pStyle w:val="Compact"/>
        <w:numPr>
          <w:ilvl w:val="0"/>
          <w:numId w:val="1005"/>
        </w:numPr>
      </w:pPr>
      <w:r>
        <w:t xml:space="preserve">TLS fingerprinting (JA4) integrato all’edge del certifier, per distinguere Chrome reale da headless Chromium / curl / Python requests.</w:t>
      </w:r>
    </w:p>
    <w:p>
      <w:pPr>
        <w:pStyle w:val="Compact"/>
        <w:numPr>
          <w:ilvl w:val="0"/>
          <w:numId w:val="1005"/>
        </w:numPr>
      </w:pPr>
      <w:r>
        <w:t xml:space="preserve">Behavioral signals attivi: assenza di fetch CSS/JS dopo l’HTML, mancanza di referrer chain interna, request rate anomalo per sessione.</w:t>
      </w:r>
    </w:p>
    <w:p>
      <w:pPr>
        <w:pStyle w:val="Compact"/>
        <w:numPr>
          <w:ilvl w:val="0"/>
          <w:numId w:val="1005"/>
        </w:numPr>
      </w:pPr>
      <w:r>
        <w:t xml:space="preserve">Challenge progressiva proof-of-work configurabile per publisher (off / leggera / aggressiva), invisibile agli umani, costosa per scraping di massa.</w:t>
      </w:r>
    </w:p>
    <w:p>
      <w:pPr>
        <w:pStyle w:val="Compact"/>
        <w:numPr>
          <w:ilvl w:val="0"/>
          <w:numId w:val="1005"/>
        </w:numPr>
      </w:pPr>
      <w:r>
        <w:t xml:space="preserve">Verifiable Presentation legate a nonce + timestamp + URL hash; JWT legato a IP+UA+DID con re-auth al cambio di contesto. Replay reso impossibile.</w:t>
      </w:r>
    </w:p>
    <w:p>
      <w:pPr>
        <w:pStyle w:val="Compact"/>
        <w:numPr>
          <w:ilvl w:val="0"/>
          <w:numId w:val="1005"/>
        </w:numPr>
      </w:pPr>
      <w:r>
        <w:t xml:space="preserve">Allowlist verificata di crawler legittimi (Googlebot, Bingbot, Common Crawl, Wayback) via reverse-DNS, estendibile dal publisher.</w:t>
      </w:r>
    </w:p>
    <w:p>
      <w:pPr>
        <w:pStyle w:val="Compact"/>
        <w:numPr>
          <w:ilvl w:val="0"/>
          <w:numId w:val="1005"/>
        </w:numPr>
      </w:pPr>
      <w:r>
        <w:t xml:space="preserve">Path</w:t>
      </w:r>
      <w:r>
        <w:t xml:space="preserve"> </w:t>
      </w:r>
      <w:r>
        <w:t xml:space="preserve">“I am human”</w:t>
      </w:r>
      <w:r>
        <w:t xml:space="preserve"> </w:t>
      </w:r>
      <w:r>
        <w:t xml:space="preserve">sempre disponibile per casi di accessibilità e falsi positivi.</w:t>
      </w:r>
    </w:p>
    <w:p>
      <w:r>
        <w:br w:type="page"/>
      </w:r>
    </w:p>
    <w:bookmarkEnd w:id="11"/>
    <w:bookmarkStart w:id="12" w:name="q4-2026-ottobre-novembre-dicembre"/>
    <w:p>
      <w:pPr>
        <w:pStyle w:val="Heading2"/>
      </w:pPr>
      <w:r>
        <w:t xml:space="preserve">4. Q4 2026 — Ottobre, Novembre, Dicembre</w:t>
      </w:r>
    </w:p>
    <w:p>
      <w:pPr>
        <w:pStyle w:val="FirstParagraph"/>
      </w:pPr>
      <w:r>
        <w:rPr>
          <w:b/>
          <w:bCs/>
        </w:rPr>
        <w:t xml:space="preserve">Obiettivo:</w:t>
      </w:r>
      <w:r>
        <w:t xml:space="preserve"> </w:t>
      </w:r>
      <w:r>
        <w:t xml:space="preserve">chiudere l’anno con prove sul campo, validazione esterna e materiale per il prossimo step di crescita.</w:t>
      </w:r>
    </w:p>
    <w:p>
      <w:pPr>
        <w:pStyle w:val="BodyText"/>
      </w:pPr>
      <w:r>
        <w:rPr>
          <w:b/>
          <w:bCs/>
        </w:rPr>
        <w:t xml:space="preserve">Cosa consegniamo entro fine dicembre:</w:t>
      </w:r>
    </w:p>
    <w:p>
      <w:pPr>
        <w:pStyle w:val="Compact"/>
        <w:numPr>
          <w:ilvl w:val="0"/>
          <w:numId w:val="1006"/>
        </w:numPr>
      </w:pPr>
      <w:r>
        <w:t xml:space="preserve">Dieci publisher reali onboarded (non amici e parenti): blog tech indipendenti, piccoli media indipendenti EU/IT, siti docs di nicchia. Ognuno attivo per almeno 30 giorni con telemetria condivisa.</w:t>
      </w:r>
    </w:p>
    <w:p>
      <w:pPr>
        <w:pStyle w:val="Compact"/>
        <w:numPr>
          <w:ilvl w:val="0"/>
          <w:numId w:val="1006"/>
        </w:numPr>
      </w:pPr>
      <w:r>
        <w:t xml:space="preserve">Tre case study scritti con numeri reali: ricavi catturati, scraper bloccati, uptime, attrito di conversione lato utente.</w:t>
      </w:r>
    </w:p>
    <w:p>
      <w:pPr>
        <w:pStyle w:val="Compact"/>
        <w:numPr>
          <w:ilvl w:val="0"/>
          <w:numId w:val="1006"/>
        </w:numPr>
      </w:pPr>
      <w:r>
        <w:t xml:space="preserve">Plugin sottomesso a WordPress.org a ottobre e listato sul marketplace ufficiale entro fine anno.</w:t>
      </w:r>
    </w:p>
    <w:p>
      <w:pPr>
        <w:pStyle w:val="Compact"/>
        <w:numPr>
          <w:ilvl w:val="0"/>
          <w:numId w:val="1006"/>
        </w:numPr>
      </w:pPr>
      <w:r>
        <w:t xml:space="preserve">Documentazione publisher-grade: video tutorial in italiano e inglese (5–10 minuti, da install al primo ricavo), FAQ, troubleshooting,</w:t>
      </w:r>
      <w:r>
        <w:t xml:space="preserve"> </w:t>
      </w:r>
      <w:r>
        <w:t xml:space="preserve">“exit story”</w:t>
      </w:r>
      <w:r>
        <w:t xml:space="preserve"> </w:t>
      </w:r>
      <w:r>
        <w:t xml:space="preserve">che spiega come abbandonare il sistema senza lock-in.</w:t>
      </w:r>
    </w:p>
    <w:p>
      <w:pPr>
        <w:pStyle w:val="Compact"/>
        <w:numPr>
          <w:ilvl w:val="0"/>
          <w:numId w:val="1006"/>
        </w:numPr>
      </w:pPr>
      <w:r>
        <w:t xml:space="preserve">Reference SDK o esempio integrabile per AI agent legittimi che vogliono pagare via x402 (lato domanda del mercato).</w:t>
      </w:r>
    </w:p>
    <w:p>
      <w:pPr>
        <w:pStyle w:val="Compact"/>
        <w:numPr>
          <w:ilvl w:val="0"/>
          <w:numId w:val="1006"/>
        </w:numPr>
      </w:pPr>
      <w:r>
        <w:t xml:space="preserve">Bug bounty pubblico aperto, anche con budget contenuto, come segnale di apertura allo scrutinio.</w:t>
      </w:r>
    </w:p>
    <w:p>
      <w:pPr>
        <w:pStyle w:val="Compact"/>
        <w:numPr>
          <w:ilvl w:val="0"/>
          <w:numId w:val="1006"/>
        </w:numPr>
      </w:pPr>
      <w:r>
        <w:t xml:space="preserve">Audit di sicurezza esterno light (1 settimana) sul flow di detection, condotto da un freelance specializzato.</w:t>
      </w:r>
    </w:p>
    <w:p>
      <w:pPr>
        <w:pStyle w:val="Compact"/>
        <w:numPr>
          <w:ilvl w:val="0"/>
          <w:numId w:val="1006"/>
        </w:numPr>
      </w:pPr>
      <w:r>
        <w:t xml:space="preserve">Whitepaper pubblico sulla metodologia di distinzione tra utenti umani e AI agent, peer-reviewable.</w:t>
      </w:r>
    </w:p>
    <w:p>
      <w:pPr>
        <w:pStyle w:val="Compact"/>
        <w:numPr>
          <w:ilvl w:val="0"/>
          <w:numId w:val="1006"/>
        </w:numPr>
      </w:pPr>
      <w:r>
        <w:t xml:space="preserve">Report di fine anno con metriche aggregate: siti onboarded, scraper bloccati, ricavi redistribuiti ai publisher, latenza misurata. Materiale pronto per il prossimo step (round / continuazione grant IOTA Foundation).</w:t>
      </w:r>
    </w:p>
    <w:p>
      <w:r>
        <w:br w:type="page"/>
      </w:r>
    </w:p>
    <w:bookmarkEnd w:id="12"/>
    <w:bookmarkStart w:id="13" w:name="indicatori-a-fine-anno"/>
    <w:p>
      <w:pPr>
        <w:pStyle w:val="Heading2"/>
      </w:pPr>
      <w:r>
        <w:t xml:space="preserve">5. Indicatori a Fine Anno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Publisher reali onboarded</w:t>
            </w:r>
          </w:p>
        </w:tc>
        <w:tc>
          <w:tcPr/>
          <w:p>
            <w:pPr>
              <w:pStyle w:val="Compact"/>
            </w:pPr>
            <w:r>
              <w:t xml:space="preserve">≥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Plugin listato su WordPress.org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Benchmark pubblico con p50/p95/p99 misurati</w:t>
            </w:r>
          </w:p>
        </w:tc>
        <w:tc>
          <w:tcPr/>
          <w:p>
            <w:pPr>
              <w:pStyle w:val="Compact"/>
            </w:pPr>
            <w:r>
              <w:t xml:space="preserve">Pubblicato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di sicurezza esterno (light)</w:t>
            </w:r>
          </w:p>
        </w:tc>
        <w:tc>
          <w:tcPr/>
          <w:p>
            <w:pPr>
              <w:pStyle w:val="Compact"/>
            </w:pPr>
            <w:r>
              <w:t xml:space="preserve">Completato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Whitepaper sulla metodologia di detection</w:t>
            </w:r>
          </w:p>
        </w:tc>
        <w:tc>
          <w:tcPr/>
          <w:p>
            <w:pPr>
              <w:pStyle w:val="Compact"/>
            </w:pPr>
            <w:r>
              <w:t xml:space="preserve">Pubblicato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 custodian / on-ramp integrato</w:t>
            </w:r>
          </w:p>
        </w:tc>
        <w:tc>
          <w:tcPr/>
          <w:p>
            <w:pPr>
              <w:pStyle w:val="Compact"/>
            </w:pPr>
            <w:r>
              <w:t xml:space="preserve">Almeno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Case study con numeri reali</w:t>
            </w:r>
          </w:p>
        </w:tc>
        <w:tc>
          <w:tcPr/>
          <w:p>
            <w:pPr>
              <w:pStyle w:val="Compact"/>
            </w:pPr>
            <w:r>
              <w:t xml:space="preserve">≥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Vettori di bypass noti mitigati a</w:t>
            </w:r>
            <w:r>
              <w:t xml:space="preserve"> </w:t>
            </w:r>
            <w:r>
              <w:t xml:space="preserve">“non economici”</w:t>
            </w:r>
          </w:p>
        </w:tc>
        <w:tc>
          <w:tcPr/>
          <w:p>
            <w:pPr>
              <w:pStyle w:val="Compact"/>
            </w:pPr>
            <w:r>
              <w:t xml:space="preserve">Tutti</w:t>
            </w:r>
          </w:p>
        </w:tc>
      </w:tr>
    </w:tbl>
    <w:p>
      <w:r>
        <w:br w:type="page"/>
      </w:r>
    </w:p>
    <w:bookmarkEnd w:id="13"/>
    <w:bookmarkStart w:id="14" w:name="principi-di-lavoro"/>
    <w:p>
      <w:pPr>
        <w:pStyle w:val="Heading2"/>
      </w:pPr>
      <w:r>
        <w:t xml:space="preserve">6. Principi di Lavoro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Niente nuove feature fino a dicembre.</w:t>
      </w:r>
      <w:r>
        <w:t xml:space="preserve"> </w:t>
      </w:r>
      <w:r>
        <w:t xml:space="preserve">Ogni richiesta esterna va in backlog 2027.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Web2 in prima impressione, Web3 sotto il cofano.</w:t>
      </w:r>
      <w:r>
        <w:t xml:space="preserve"> </w:t>
      </w:r>
      <w:r>
        <w:t xml:space="preserve">Il publisher non deve mai vedere un DID se non lo vuole.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Ogni numero che pubblichiamo è misurato.</w:t>
      </w:r>
      <w:r>
        <w:t xml:space="preserve"> </w:t>
      </w:r>
      <w:r>
        <w:t xml:space="preserve">Niente stime, niente placeholder.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Detection è la fondazione.</w:t>
      </w:r>
      <w:r>
        <w:t xml:space="preserve"> </w:t>
      </w:r>
      <w:r>
        <w:t xml:space="preserve">Se la distinzione tra umani e scraper non è robusta, tutto il resto perde valore. Ci lavoriamo in continuo, ogni trimestre.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Onestà sul perimetro.</w:t>
      </w:r>
      <w:r>
        <w:t xml:space="preserve"> </w:t>
      </w:r>
      <w:r>
        <w:t xml:space="preserve">Non promettiamo l’imbattibilità: cambiamo l’incentivo economico, rendendo lo scraping più costoso del pagamento.</w:t>
      </w:r>
    </w:p>
    <w:p>
      <w:r>
        <w:br w:type="page"/>
      </w:r>
    </w:p>
    <w:bookmarkEnd w:id="14"/>
    <w:bookmarkStart w:id="15" w:name="coordinamento"/>
    <w:p>
      <w:pPr>
        <w:pStyle w:val="Heading2"/>
      </w:pPr>
      <w:r>
        <w:t xml:space="preserve">7. Coordinamento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Niccolò:</w:t>
      </w:r>
      <w:r>
        <w:t xml:space="preserve"> </w:t>
      </w:r>
      <w:r>
        <w:t xml:space="preserve">lead su performance, sicurezza, infrastruttura, detection robustness, audit.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Paolo:</w:t>
      </w:r>
      <w:r>
        <w:t xml:space="preserve"> </w:t>
      </w:r>
      <w:r>
        <w:t xml:space="preserve">lead su UX WordPress, onboarding, documentazione publisher, marketplace, distribuzione, publisher pilota.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Insieme:</w:t>
      </w:r>
      <w:r>
        <w:t xml:space="preserve"> </w:t>
      </w:r>
      <w:r>
        <w:t xml:space="preserve">pitch deck, evento Berlino, relazione con IOTA Foundation, report di fine anno.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Cadenza proposta con IOTA Foundation:</w:t>
      </w:r>
      <w:r>
        <w:t xml:space="preserve"> </w:t>
      </w:r>
      <w:r>
        <w:t xml:space="preserve">check-in mensile di avanzamento, re-sync esteso dopo Berlino.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2026-04-28T08:47:03Z</dcterms:created>
  <dcterms:modified xsi:type="dcterms:W3CDTF">2026-04-28T08:47:03Z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