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31" w:name="Xcb5c1eb41f37e42704a4bb0001259c1c2405691"/>
    <w:p>
      <w:pPr>
        <w:pStyle w:val="Heading1"/>
      </w:pPr>
      <w:r>
        <w:t xml:space="preserve">IOTA Web Guardian — Strategia e Roadmap 2026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Versione documento:</w:t>
      </w:r>
      <w:r>
        <w:t xml:space="preserve"> </w:t>
      </w:r>
      <w:r>
        <w:t xml:space="preserve">1.0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Data:</w:t>
      </w:r>
      <w:r>
        <w:t xml:space="preserve"> </w:t>
      </w:r>
      <w:r>
        <w:t xml:space="preserve">28 aprile 2026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Autori:</w:t>
      </w:r>
      <w:r>
        <w:t xml:space="preserve"> </w:t>
      </w:r>
      <w:r>
        <w:t xml:space="preserve">Niccolò, Paolo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Destinatari:</w:t>
      </w:r>
      <w:r>
        <w:t xml:space="preserve"> </w:t>
      </w:r>
      <w:r>
        <w:t xml:space="preserve">Team IOTA Foundation, mentor, advisor investitori</w:t>
      </w:r>
    </w:p>
    <w:p>
      <w:r>
        <w:br w:type="page"/>
      </w:r>
    </w:p>
    <w:bookmarkStart w:id="9" w:name="sintesi-esecutiva"/>
    <w:p>
      <w:pPr>
        <w:pStyle w:val="Heading2"/>
      </w:pPr>
      <w:r>
        <w:t xml:space="preserve">1. Sintesi Esecutiva</w:t>
      </w:r>
    </w:p>
    <w:p>
      <w:pPr>
        <w:pStyle w:val="FirstParagraph"/>
      </w:pPr>
      <w:r>
        <w:t xml:space="preserve">Dopo il feedback ricevuto durante la call con IOTA Foundation, la direzione per IOTA Web Guardian da qui a dicembre 2026 è chiara: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Nessuna nuova feature.</w:t>
      </w:r>
      <w:r>
        <w:t xml:space="preserve"> </w:t>
      </w:r>
      <w:r>
        <w:t xml:space="preserve">Da aprile a dicembre ci concentriamo sul rifinire, irrobustire e validare quello che già abbiamo. Il prodotto come è oggi è considerato completo a livello di scope; quello che manca è robustezza, accessibilità Web2 e prove sul campo.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Ponte verso il Web2.</w:t>
      </w:r>
      <w:r>
        <w:t xml:space="preserve"> </w:t>
      </w:r>
      <w:r>
        <w:t xml:space="preserve">Il sistema deve diventare utilizzabile da publisher che non capiscono il Web3. Wallet, DID e pagamenti on-chain devono sparire dietro un’esperienza di</w:t>
      </w:r>
      <w:r>
        <w:t xml:space="preserve"> </w:t>
      </w:r>
      <w:r>
        <w:t xml:space="preserve">“onboarding in 60 secondi”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Detection come priorità.</w:t>
      </w:r>
      <w:r>
        <w:t xml:space="preserve"> </w:t>
      </w:r>
      <w:r>
        <w:t xml:space="preserve">Il modello economico funziona solo se il sistema distingue in modo affidabile gli AI scraper dai browser umani. Questa è la fondazione su cui poggia tutto il resto.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Distribuzione e prove.</w:t>
      </w:r>
      <w:r>
        <w:t xml:space="preserve"> </w:t>
      </w:r>
      <w:r>
        <w:t xml:space="preserve">Entro dicembre vogliamo numeri misurati su publisher reali, non slide.</w:t>
      </w:r>
    </w:p>
    <w:p>
      <w:pPr>
        <w:pStyle w:val="FirstParagraph"/>
      </w:pPr>
      <w:r>
        <w:t xml:space="preserve">Questo documento definisce i nostri obiettivi a medio-lungo termine e la roadmap da maggio a dicembre 2026, organizzati in OKR trimestrali e quattro binari paralleli.</w:t>
      </w:r>
    </w:p>
    <w:p>
      <w:r>
        <w:br w:type="page"/>
      </w:r>
    </w:p>
    <w:bookmarkEnd w:id="9"/>
    <w:bookmarkStart w:id="10" w:name="binari-strategici-aprile-dicembre-2026"/>
    <w:p>
      <w:pPr>
        <w:pStyle w:val="Heading2"/>
      </w:pPr>
      <w:r>
        <w:t xml:space="preserve">2. Binari Strategici (Aprile – Dicembre 2026)</w:t>
      </w:r>
    </w:p>
    <w:p>
      <w:pPr>
        <w:pStyle w:val="FirstParagraph"/>
      </w:pPr>
      <w:r>
        <w:t xml:space="preserve">Il lavoro è organizzato su quattro binari paralleli. Ognuno attraversa tutti i trimestri con enfasi diverse.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Binario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Owner (proposto)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A. Hardening &amp; Measurement</w:t>
            </w:r>
          </w:p>
        </w:tc>
        <w:tc>
          <w:tcPr/>
          <w:p>
            <w:pPr>
              <w:pStyle w:val="Compact"/>
            </w:pPr>
            <w:r>
              <w:t xml:space="preserve">Performance, sicurezza, osservabilità del sistema esistente</w:t>
            </w:r>
          </w:p>
        </w:tc>
        <w:tc>
          <w:tcPr/>
          <w:p>
            <w:pPr>
              <w:pStyle w:val="Compact"/>
            </w:pPr>
            <w:r>
              <w:t xml:space="preserve">Niccolò (lead)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B. Detection Robustness</w:t>
            </w:r>
          </w:p>
        </w:tc>
        <w:tc>
          <w:tcPr/>
          <w:p>
            <w:pPr>
              <w:pStyle w:val="Compact"/>
            </w:pPr>
            <w:r>
              <w:t xml:space="preserve">Distinzione tra AI scraper e browser umani — anti-bypass</w:t>
            </w:r>
          </w:p>
        </w:tc>
        <w:tc>
          <w:tcPr/>
          <w:p>
            <w:pPr>
              <w:pStyle w:val="Compact"/>
            </w:pPr>
            <w:r>
              <w:t xml:space="preserve">Niccolò + review esterna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C. Web2 Onboarding</w:t>
            </w:r>
          </w:p>
        </w:tc>
        <w:tc>
          <w:tcPr/>
          <w:p>
            <w:pPr>
              <w:pStyle w:val="Compact"/>
            </w:pPr>
            <w:r>
              <w:t xml:space="preserve">Rendere il sistema usabile da publisher non-crypto</w:t>
            </w:r>
          </w:p>
        </w:tc>
        <w:tc>
          <w:tcPr/>
          <w:p>
            <w:pPr>
              <w:pStyle w:val="Compact"/>
            </w:pPr>
            <w:r>
              <w:t xml:space="preserve">Paolo (lead)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 Distribution &amp; Proof</w:t>
            </w:r>
          </w:p>
        </w:tc>
        <w:tc>
          <w:tcPr/>
          <w:p>
            <w:pPr>
              <w:pStyle w:val="Compact"/>
            </w:pPr>
            <w:r>
              <w:t xml:space="preserve">Publisher pilota, case study, listing marketplace</w:t>
            </w:r>
          </w:p>
        </w:tc>
        <w:tc>
          <w:tcPr/>
          <w:p>
            <w:pPr>
              <w:pStyle w:val="Compact"/>
            </w:pPr>
            <w:r>
              <w:t xml:space="preserve">Paolo + entrambi</w:t>
            </w:r>
          </w:p>
        </w:tc>
      </w:tr>
    </w:tbl>
    <w:p>
      <w:r>
        <w:br w:type="page"/>
      </w:r>
    </w:p>
    <w:bookmarkEnd w:id="10"/>
    <w:bookmarkStart w:id="12" w:name="X09f1b9e3c8c8d4e657932d28264d3616ba4a9b4"/>
    <w:p>
      <w:pPr>
        <w:pStyle w:val="Heading2"/>
      </w:pPr>
      <w:r>
        <w:t xml:space="preserve">3. Q2 2026 (Maggio – Giugno) — Hardening &amp; Measurement</w:t>
      </w:r>
    </w:p>
    <w:p>
      <w:pPr>
        <w:pStyle w:val="FirstParagraph"/>
      </w:pPr>
      <w:r>
        <w:rPr>
          <w:b/>
          <w:bCs/>
        </w:rPr>
        <w:t xml:space="preserve">Tema:</w:t>
      </w:r>
      <w:r>
        <w:t xml:space="preserve"> </w:t>
      </w:r>
      <w:r>
        <w:t xml:space="preserve">Trasformare il prototipo da hackathon in un software di cui un publisher si fida in produzione.</w:t>
      </w:r>
    </w:p>
    <w:bookmarkStart w:id="11" w:name="obiettivi"/>
    <w:p>
      <w:pPr>
        <w:pStyle w:val="Heading3"/>
      </w:pPr>
      <w:r>
        <w:t xml:space="preserve">Obiettivi</w:t>
      </w:r>
    </w:p>
    <w:p>
      <w:pPr>
        <w:pStyle w:val="FirstParagraph"/>
      </w:pPr>
      <w:r>
        <w:rPr>
          <w:b/>
          <w:bCs/>
        </w:rPr>
        <w:t xml:space="preserve">O1 — Stabilire una baseline di misurazione.</w:t>
      </w:r>
      <w:r>
        <w:t xml:space="preserve"> </w:t>
      </w:r>
      <w:r>
        <w:t xml:space="preserve">- KR1: Pagina di benchmark pubblica con latenza p50/p95/p99 per cold fetch, JWT cached path, settlement del pagamento, misurati su IOTA Rebased testnet.</w:t>
      </w:r>
      <w:r>
        <w:t xml:space="preserve"> </w:t>
      </w:r>
      <w:r>
        <w:t xml:space="preserve">- KR2: Documento di metodologia pubblicato (test riproducibili, hardware, condizioni di rete).</w:t>
      </w:r>
      <w:r>
        <w:t xml:space="preserve"> </w:t>
      </w:r>
      <w:r>
        <w:t xml:space="preserve">- KR3: Sostituire tutti i numeri placeholder (</w:t>
      </w:r>
      <w:r>
        <w:t xml:space="preserve">“~2.8s / ~77ms”</w:t>
      </w:r>
      <w:r>
        <w:t xml:space="preserve">) nel deck e nel README con valori misurati.</w:t>
      </w:r>
    </w:p>
    <w:p>
      <w:pPr>
        <w:pStyle w:val="BodyText"/>
      </w:pPr>
      <w:r>
        <w:rPr>
          <w:b/>
          <w:bCs/>
        </w:rPr>
        <w:t xml:space="preserve">O2 — Baseline di sicurezza.</w:t>
      </w:r>
      <w:r>
        <w:t xml:space="preserve"> </w:t>
      </w:r>
      <w:r>
        <w:t xml:space="preserve">- KR1: Security review interna del plugin WordPress (43% del web è la superficie d’attacco; deve essere solida).</w:t>
      </w:r>
      <w:r>
        <w:t xml:space="preserve"> </w:t>
      </w:r>
      <w:r>
        <w:t xml:space="preserve">- KR2: Documento di threat model che copre i quattro principali vettori d’attacco (scraper che si maschera da browser, falso positivo su utenti umani, replay/forging di VP, attacco Sybil sui DID).</w:t>
      </w:r>
      <w:r>
        <w:t xml:space="preserve"> </w:t>
      </w:r>
      <w:r>
        <w:t xml:space="preserve">- KR3: Report di stress test — soglia req/s del certifier, comportamento durante latency spike di IOTA L1, failure mode documentati.</w:t>
      </w:r>
    </w:p>
    <w:p>
      <w:pPr>
        <w:pStyle w:val="BodyText"/>
      </w:pPr>
      <w:r>
        <w:rPr>
          <w:b/>
          <w:bCs/>
        </w:rPr>
        <w:t xml:space="preserve">O3 — Osservabilità.</w:t>
      </w:r>
      <w:r>
        <w:t xml:space="preserve"> </w:t>
      </w:r>
      <w:r>
        <w:t xml:space="preserve">- KR1: Telemetria opt-in attiva: numero di installazioni, scraper bloccati, ricavi catturati, segnalazioni di falsi positivi.</w:t>
      </w:r>
      <w:r>
        <w:t xml:space="preserve"> </w:t>
      </w:r>
      <w:r>
        <w:t xml:space="preserve">- KR2: Logging strutturato su ogni decisione block/allow con codice di motivazione.</w:t>
      </w:r>
    </w:p>
    <w:p>
      <w:pPr>
        <w:pStyle w:val="BodyText"/>
      </w:pPr>
      <w:r>
        <w:rPr>
          <w:b/>
          <w:bCs/>
        </w:rPr>
        <w:t xml:space="preserve">Preparazione evento Berlino (giugno)</w:t>
      </w:r>
      <w:r>
        <w:t xml:space="preserve"> </w:t>
      </w:r>
      <w:r>
        <w:t xml:space="preserve">- Deck demo aggiornato con numeri misurati.</w:t>
      </w:r>
      <w:r>
        <w:t xml:space="preserve"> </w:t>
      </w:r>
      <w:r>
        <w:t xml:space="preserve">- One-pager di consegna con il threat model dei quattro vettori e la nostra postura di mitigazione.</w:t>
      </w:r>
      <w:r>
        <w:t xml:space="preserve"> </w:t>
      </w:r>
      <w:r>
        <w:t xml:space="preserve">- Demo live su endpoint testnet stabile.</w:t>
      </w:r>
    </w:p>
    <w:p>
      <w:r>
        <w:br w:type="page"/>
      </w:r>
    </w:p>
    <w:bookmarkEnd w:id="11"/>
    <w:bookmarkEnd w:id="12"/>
    <w:bookmarkStart w:id="15" w:name="Xfc1e9ac6f576971fb9757c519b5c357a58e8915"/>
    <w:p>
      <w:pPr>
        <w:pStyle w:val="Heading2"/>
      </w:pPr>
      <w:r>
        <w:t xml:space="preserve">4. Q3 2026 (Luglio – Settembre) — Web2 Onboarding &amp; Detection Hardening</w:t>
      </w:r>
    </w:p>
    <w:p>
      <w:pPr>
        <w:pStyle w:val="FirstParagraph"/>
      </w:pPr>
      <w:r>
        <w:rPr>
          <w:b/>
          <w:bCs/>
        </w:rPr>
        <w:t xml:space="preserve">Tema:</w:t>
      </w:r>
      <w:r>
        <w:t xml:space="preserve"> </w:t>
      </w:r>
      <w:r>
        <w:t xml:space="preserve">Un blogger WordPress di 55 anni deve poter installare il sistema e guadagnare i primi euro senza sapere cos’è un wallet. In parallelo, il livello di detection deve essere irrobustito contro il bypass.</w:t>
      </w:r>
    </w:p>
    <w:bookmarkStart w:id="13" w:name="binario-c-web2-onboarding"/>
    <w:p>
      <w:pPr>
        <w:pStyle w:val="Heading3"/>
      </w:pPr>
      <w:r>
        <w:t xml:space="preserve">Binario C — Web2 Onboarding</w:t>
      </w:r>
    </w:p>
    <w:p>
      <w:pPr>
        <w:pStyle w:val="FirstParagraph"/>
      </w:pPr>
      <w:r>
        <w:rPr>
          <w:b/>
          <w:bCs/>
        </w:rPr>
        <w:t xml:space="preserve">O1 — Modalità custodial di default.</w:t>
      </w:r>
      <w:r>
        <w:t xml:space="preserve"> </w:t>
      </w:r>
      <w:r>
        <w:t xml:space="preserve">- KR1: Flusso di registrazione email/Google; wallet provisionato e custodito da un partner custodian (non da noi — vedi nota strategica al §7).</w:t>
      </w:r>
      <w:r>
        <w:t xml:space="preserve"> </w:t>
      </w:r>
      <w:r>
        <w:t xml:space="preserve">- KR2:</w:t>
      </w:r>
      <w:r>
        <w:t xml:space="preserve"> </w:t>
      </w:r>
      <w:r>
        <w:t xml:space="preserve">“Export to self-custody”</w:t>
      </w:r>
      <w:r>
        <w:t xml:space="preserve"> </w:t>
      </w:r>
      <w:r>
        <w:t xml:space="preserve">con un click per power user. Il path di default non mostra mai una seed phrase.</w:t>
      </w:r>
      <w:r>
        <w:t xml:space="preserve"> </w:t>
      </w:r>
      <w:r>
        <w:t xml:space="preserve">- KR3: Generazione del DID e binding avvengono dietro le quinte; il publisher vede solo la sua email e una dashboard.</w:t>
      </w:r>
    </w:p>
    <w:p>
      <w:pPr>
        <w:pStyle w:val="BodyText"/>
      </w:pPr>
      <w:r>
        <w:rPr>
          <w:b/>
          <w:bCs/>
        </w:rPr>
        <w:t xml:space="preserve">O2 — Off-ramp fiat integrato.</w:t>
      </w:r>
      <w:r>
        <w:t xml:space="preserve"> </w:t>
      </w:r>
      <w:r>
        <w:t xml:space="preserve">- KR1: Integrazione con almeno un partner di on/off-ramp (Transak, Ramp, MoonPay, oppure un’opzione locale EU compatibile SEPA).</w:t>
      </w:r>
      <w:r>
        <w:t xml:space="preserve"> </w:t>
      </w:r>
      <w:r>
        <w:t xml:space="preserve">- KR2: Dashboard del publisher mostra il saldo in EUR/USD, non in token IOTA.</w:t>
      </w:r>
      <w:r>
        <w:t xml:space="preserve"> </w:t>
      </w:r>
      <w:r>
        <w:t xml:space="preserve">- KR3: Prelievo verso PayPal / Stripe / SEPA in &lt;2 click.</w:t>
      </w:r>
    </w:p>
    <w:p>
      <w:pPr>
        <w:pStyle w:val="BodyText"/>
      </w:pPr>
      <w:r>
        <w:rPr>
          <w:b/>
          <w:bCs/>
        </w:rPr>
        <w:t xml:space="preserve">O3 — Setup wizard</w:t>
      </w:r>
      <w:r>
        <w:rPr>
          <w:b/>
          <w:bCs/>
        </w:rPr>
        <w:t xml:space="preserve"> </w:t>
      </w:r>
      <w:r>
        <w:rPr>
          <w:b/>
          <w:bCs/>
        </w:rPr>
        <w:t xml:space="preserve">“onboarding in 60 secondi”</w:t>
      </w:r>
      <w:r>
        <w:rPr>
          <w:b/>
          <w:bCs/>
        </w:rPr>
        <w:t xml:space="preserve">.</w:t>
      </w:r>
      <w:r>
        <w:t xml:space="preserve"> </w:t>
      </w:r>
      <w:r>
        <w:t xml:space="preserve">- KR1: Installa plugin → conferma email → primo scraper bloccato, tutto in meno di 60 secondi, misurato su un WordPress fresco.</w:t>
      </w:r>
      <w:r>
        <w:t xml:space="preserve"> </w:t>
      </w:r>
      <w:r>
        <w:t xml:space="preserve">- KR2: UI di pricing in linguaggio umano (</w:t>
      </w:r>
      <w:r>
        <w:t xml:space="preserve">“€0,50 per 1000 visite di scraper, suggerito”</w:t>
      </w:r>
      <w:r>
        <w:t xml:space="preserve">) con preset per blog/news/docs.</w:t>
      </w:r>
      <w:r>
        <w:t xml:space="preserve"> </w:t>
      </w:r>
      <w:r>
        <w:t xml:space="preserve">- KR3: Zero gergo blockchain nella prima schermata; vista avanzata disponibile su richiesta.</w:t>
      </w:r>
    </w:p>
    <w:bookmarkEnd w:id="13"/>
    <w:bookmarkStart w:id="14" w:name="X7e14a12374e233a7677cc76a523e1859d82e992"/>
    <w:p>
      <w:pPr>
        <w:pStyle w:val="Heading3"/>
      </w:pPr>
      <w:r>
        <w:t xml:space="preserve">Binario B — Detection Robustness (in parallelo)</w:t>
      </w:r>
    </w:p>
    <w:p>
      <w:pPr>
        <w:pStyle w:val="FirstParagraph"/>
      </w:pPr>
      <w:r>
        <w:rPr>
          <w:b/>
          <w:bCs/>
        </w:rPr>
        <w:t xml:space="preserve">O4 — Modello di detection a strati.</w:t>
      </w:r>
      <w:r>
        <w:t xml:space="preserve"> </w:t>
      </w:r>
      <w:r>
        <w:t xml:space="preserve">- KR1: TLS fingerprinting (JA4) integrato all’edge del certifier. Headless Chromium, curl, Python requests hanno signature distinte da Chrome reale.</w:t>
      </w:r>
      <w:r>
        <w:t xml:space="preserve"> </w:t>
      </w:r>
      <w:r>
        <w:t xml:space="preserve">- KR2: Behavioral signals: mancanza di fetch CSS/JS entro N ms dall’HTML, mancanza di referrer chain interna, request rate anomalo per sessione.</w:t>
      </w:r>
      <w:r>
        <w:t xml:space="preserve"> </w:t>
      </w:r>
      <w:r>
        <w:t xml:space="preserve">- KR3: Challenge progressiva opzionale (proof-of-work / Turnstile-like) configurabile per publisher: off / leggera / aggressiva. Invisibile agli umani, costosa per scraping di massa.</w:t>
      </w:r>
      <w:r>
        <w:t xml:space="preserve"> </w:t>
      </w:r>
      <w:r>
        <w:t xml:space="preserve">- KR4: Meccanismo di honeypot link — link DOM invisibili che scattano una blocklist se seguiti.</w:t>
      </w:r>
    </w:p>
    <w:p>
      <w:pPr>
        <w:pStyle w:val="BodyText"/>
      </w:pPr>
      <w:r>
        <w:rPr>
          <w:b/>
          <w:bCs/>
        </w:rPr>
        <w:t xml:space="preserve">O5 — Garanzie anti-bypass.</w:t>
      </w:r>
      <w:r>
        <w:t xml:space="preserve"> </w:t>
      </w:r>
      <w:r>
        <w:t xml:space="preserve">- KR1: VP legata a nonce specifico della richiesta + timestamp + hash dell’URL. Nessun replay possibile.</w:t>
      </w:r>
      <w:r>
        <w:t xml:space="preserve"> </w:t>
      </w:r>
      <w:r>
        <w:t xml:space="preserve">- KR2: JWT legato a IP+UA+DID; al cambio di contesto, re-auth obbligatoria.</w:t>
      </w:r>
      <w:r>
        <w:t xml:space="preserve"> </w:t>
      </w:r>
      <w:r>
        <w:t xml:space="preserve">- KR3: Rate limiting per-DID + per-origine (entrambi, non uno o l’altro).</w:t>
      </w:r>
      <w:r>
        <w:t xml:space="preserve"> </w:t>
      </w:r>
      <w:r>
        <w:t xml:space="preserve">- KR4: Reputation score per DID: DID nuovi hanno quota/costo più alto; storico pulito sblocca fast lane.</w:t>
      </w:r>
    </w:p>
    <w:p>
      <w:pPr>
        <w:pStyle w:val="BodyText"/>
      </w:pPr>
      <w:r>
        <w:rPr>
          <w:b/>
          <w:bCs/>
        </w:rPr>
        <w:t xml:space="preserve">O6 — Allowlist crawler legittimi.</w:t>
      </w:r>
      <w:r>
        <w:t xml:space="preserve"> </w:t>
      </w:r>
      <w:r>
        <w:t xml:space="preserve">- KR1: Allowlist verificata integrata (Googlebot, Bingbot, Common Crawl, Wayback) tramite verifica reverse-DNS.</w:t>
      </w:r>
      <w:r>
        <w:t xml:space="preserve"> </w:t>
      </w:r>
      <w:r>
        <w:t xml:space="preserve">- KR2: UI publisher per estendere l’allowlist.</w:t>
      </w:r>
    </w:p>
    <w:p>
      <w:pPr>
        <w:pStyle w:val="BodyText"/>
      </w:pPr>
      <w:r>
        <w:rPr>
          <w:b/>
          <w:bCs/>
        </w:rPr>
        <w:t xml:space="preserve">O7 — Guardrail sui falsi positivi.</w:t>
      </w:r>
      <w:r>
        <w:t xml:space="preserve"> </w:t>
      </w:r>
      <w:r>
        <w:t xml:space="preserve">- KR1: Policy default-permissive sul primo hit; classificazione asincrona.</w:t>
      </w:r>
      <w:r>
        <w:t xml:space="preserve"> </w:t>
      </w:r>
      <w:r>
        <w:t xml:space="preserve">- KR2: Path</w:t>
      </w:r>
      <w:r>
        <w:t xml:space="preserve"> </w:t>
      </w:r>
      <w:r>
        <w:t xml:space="preserve">“I am human”</w:t>
      </w:r>
      <w:r>
        <w:t xml:space="preserve"> </w:t>
      </w:r>
      <w:r>
        <w:t xml:space="preserve">sempre disponibile (cookie / link) per casi di accessibilità.</w:t>
      </w:r>
      <w:r>
        <w:t xml:space="preserve"> </w:t>
      </w:r>
      <w:r>
        <w:t xml:space="preserve">- KR3: Widget dashboard che mostra</w:t>
      </w:r>
      <w:r>
        <w:t xml:space="preserve"> </w:t>
      </w:r>
      <w:r>
        <w:t xml:space="preserve">“X richieste rifiutate, Y probabilmente umane”</w:t>
      </w:r>
      <w:r>
        <w:t xml:space="preserve"> </w:t>
      </w:r>
      <w:r>
        <w:t xml:space="preserve">così che i publisher si fidino del sistema.</w:t>
      </w:r>
    </w:p>
    <w:p>
      <w:r>
        <w:br w:type="page"/>
      </w:r>
    </w:p>
    <w:bookmarkEnd w:id="14"/>
    <w:bookmarkEnd w:id="15"/>
    <w:bookmarkStart w:id="18" w:name="Xaa2c8e60a109908501135bcc8beeafbe440687f"/>
    <w:p>
      <w:pPr>
        <w:pStyle w:val="Heading2"/>
      </w:pPr>
      <w:r>
        <w:t xml:space="preserve">5. Q4 2026 (Ottobre – Dicembre) — Distribuzione, Prove, Validazione Esterna</w:t>
      </w:r>
    </w:p>
    <w:p>
      <w:pPr>
        <w:pStyle w:val="FirstParagraph"/>
      </w:pPr>
      <w:r>
        <w:rPr>
          <w:b/>
          <w:bCs/>
        </w:rPr>
        <w:t xml:space="preserve">Tema:</w:t>
      </w:r>
      <w:r>
        <w:t xml:space="preserve"> </w:t>
      </w:r>
      <w:r>
        <w:t xml:space="preserve">Arrivare al prossimo milestone con IOTA con numeri misurati da publisher reali, non con slide.</w:t>
      </w:r>
    </w:p>
    <w:bookmarkStart w:id="16" w:name="binario-d-distribution-proof"/>
    <w:p>
      <w:pPr>
        <w:pStyle w:val="Heading3"/>
      </w:pPr>
      <w:r>
        <w:t xml:space="preserve">Binario D — Distribution &amp; Proof</w:t>
      </w:r>
    </w:p>
    <w:p>
      <w:pPr>
        <w:pStyle w:val="FirstParagraph"/>
      </w:pPr>
      <w:r>
        <w:rPr>
          <w:b/>
          <w:bCs/>
        </w:rPr>
        <w:t xml:space="preserve">O1 — 10 publisher pilota reali.</w:t>
      </w:r>
      <w:r>
        <w:t xml:space="preserve"> </w:t>
      </w:r>
      <w:r>
        <w:t xml:space="preserve">- KR1: 10 siti onboarded (non amici e parenti). Blog tech indipendenti, piccoli media indipendenti EU/IT, siti docs di nicchia.</w:t>
      </w:r>
      <w:r>
        <w:t xml:space="preserve"> </w:t>
      </w:r>
      <w:r>
        <w:t xml:space="preserve">- KR2: Ogni publisher attivo per ≥30 giorni con telemetria condivisa.</w:t>
      </w:r>
      <w:r>
        <w:t xml:space="preserve"> </w:t>
      </w:r>
      <w:r>
        <w:t xml:space="preserve">- KR3: 3 case study scritti con numeri reali (ricavi catturati, scraper bloccati, uptime, attrito di conversione).</w:t>
      </w:r>
    </w:p>
    <w:p>
      <w:pPr>
        <w:pStyle w:val="BodyText"/>
      </w:pPr>
      <w:r>
        <w:rPr>
          <w:b/>
          <w:bCs/>
        </w:rPr>
        <w:t xml:space="preserve">O2 — Listing marketplace WordPress.org.</w:t>
      </w:r>
      <w:r>
        <w:t xml:space="preserve"> </w:t>
      </w:r>
      <w:r>
        <w:t xml:space="preserve">- KR1: Submission preparata e inviata a ottobre (il processo di review richiede settimane).</w:t>
      </w:r>
      <w:r>
        <w:t xml:space="preserve"> </w:t>
      </w:r>
      <w:r>
        <w:t xml:space="preserve">- KR2: Plugin listato e scaricabile da wordpress.org entro fine Q4.</w:t>
      </w:r>
    </w:p>
    <w:p>
      <w:pPr>
        <w:pStyle w:val="BodyText"/>
      </w:pPr>
      <w:r>
        <w:rPr>
          <w:b/>
          <w:bCs/>
        </w:rPr>
        <w:t xml:space="preserve">O3 — Documentazione publisher-grade.</w:t>
      </w:r>
      <w:r>
        <w:t xml:space="preserve"> </w:t>
      </w:r>
      <w:r>
        <w:t xml:space="preserve">- KR1: Video tutorial (IT + EN), 5–10 min, da install a primo ricavo.</w:t>
      </w:r>
      <w:r>
        <w:t xml:space="preserve"> </w:t>
      </w:r>
      <w:r>
        <w:t xml:space="preserve">- KR2: FAQ + guida troubleshooting.</w:t>
      </w:r>
      <w:r>
        <w:t xml:space="preserve"> </w:t>
      </w:r>
      <w:r>
        <w:t xml:space="preserve">- KR3: Pagina</w:t>
      </w:r>
      <w:r>
        <w:t xml:space="preserve"> </w:t>
      </w:r>
      <w:r>
        <w:t xml:space="preserve">“exit story”</w:t>
      </w:r>
      <w:r>
        <w:t xml:space="preserve"> </w:t>
      </w:r>
      <w:r>
        <w:t xml:space="preserve">— spiegazione chiara di come un publisher abbandona il sistema senza lock-in.</w:t>
      </w:r>
    </w:p>
    <w:p>
      <w:pPr>
        <w:pStyle w:val="BodyText"/>
      </w:pPr>
      <w:r>
        <w:rPr>
          <w:b/>
          <w:bCs/>
        </w:rPr>
        <w:t xml:space="preserve">O4 — Abilitazione lato domanda.</w:t>
      </w:r>
      <w:r>
        <w:t xml:space="preserve"> </w:t>
      </w:r>
      <w:r>
        <w:t xml:space="preserve">- KR1: Reference SDK o esempio per AI agent legittimi che</w:t>
      </w:r>
      <w:r>
        <w:t xml:space="preserve"> </w:t>
      </w:r>
      <w:r>
        <w:rPr>
          <w:i/>
          <w:iCs/>
        </w:rPr>
        <w:t xml:space="preserve">vogliono</w:t>
      </w:r>
      <w:r>
        <w:t xml:space="preserve"> </w:t>
      </w:r>
      <w:r>
        <w:t xml:space="preserve">pagare (agente Claude / OpenAI che chiama endpoint x402-protetti correttamente).</w:t>
      </w:r>
      <w:r>
        <w:t xml:space="preserve"> </w:t>
      </w:r>
      <w:r>
        <w:t xml:space="preserve">- KR2: Senza un lato domanda credibile, il sistema è solo un firewall. Con esso, diventa un mercato.</w:t>
      </w:r>
    </w:p>
    <w:bookmarkEnd w:id="16"/>
    <w:bookmarkStart w:id="17" w:name="binario-a-hardening-in-continuità"/>
    <w:p>
      <w:pPr>
        <w:pStyle w:val="Heading3"/>
      </w:pPr>
      <w:r>
        <w:t xml:space="preserve">Binario A — Hardening (in continuità)</w:t>
      </w:r>
    </w:p>
    <w:p>
      <w:pPr>
        <w:pStyle w:val="FirstParagraph"/>
      </w:pPr>
      <w:r>
        <w:rPr>
          <w:b/>
          <w:bCs/>
        </w:rPr>
        <w:t xml:space="preserve">O5 — Validazione esterna.</w:t>
      </w:r>
      <w:r>
        <w:t xml:space="preserve"> </w:t>
      </w:r>
      <w:r>
        <w:t xml:space="preserve">- KR1: Bug bounty pubblico (budget modesto, es. $500–$1000 totali). Il segnale conta più dell’importo.</w:t>
      </w:r>
      <w:r>
        <w:t xml:space="preserve"> </w:t>
      </w:r>
      <w:r>
        <w:t xml:space="preserve">- KR2: Audit di sicurezza esterno light del flow di detection a opera di un freelance Web AppSec (1 settimana di scope).</w:t>
      </w:r>
      <w:r>
        <w:t xml:space="preserve"> </w:t>
      </w:r>
      <w:r>
        <w:t xml:space="preserve">- KR3: Whitepaper pubblico</w:t>
      </w:r>
      <w:r>
        <w:t xml:space="preserve"> </w:t>
      </w:r>
      <w:r>
        <w:t xml:space="preserve">“How we distinguish humans from AI agents”</w:t>
      </w:r>
      <w:r>
        <w:t xml:space="preserve"> </w:t>
      </w:r>
      <w:r>
        <w:t xml:space="preserve">— peer-reviewable, fattore differenziante con publisher tecnici e con IOTA Foundation.</w:t>
      </w:r>
    </w:p>
    <w:p>
      <w:pPr>
        <w:pStyle w:val="BodyText"/>
      </w:pPr>
      <w:r>
        <w:rPr>
          <w:b/>
          <w:bCs/>
        </w:rPr>
        <w:t xml:space="preserve">O6 — Report di fine anno.</w:t>
      </w:r>
      <w:r>
        <w:t xml:space="preserve"> </w:t>
      </w:r>
      <w:r>
        <w:t xml:space="preserve">- KR1: Report pubblico con metriche aggregate: siti onboarded, scraper bloccati, € redistribuiti ai publisher, latenza p50/p95.</w:t>
      </w:r>
      <w:r>
        <w:t xml:space="preserve"> </w:t>
      </w:r>
      <w:r>
        <w:t xml:space="preserve">- KR2: Materiale pronto per il prossimo round di funding / continuazione del grant IOTA Foundation.</w:t>
      </w:r>
    </w:p>
    <w:p>
      <w:r>
        <w:br w:type="page"/>
      </w:r>
    </w:p>
    <w:bookmarkEnd w:id="17"/>
    <w:bookmarkEnd w:id="18"/>
    <w:bookmarkStart w:id="22" w:name="detection-la-domanda-fondamentale"/>
    <w:p>
      <w:pPr>
        <w:pStyle w:val="Heading2"/>
      </w:pPr>
      <w:r>
        <w:t xml:space="preserve">6. Detection: La Domanda Fondamentale</w:t>
      </w:r>
    </w:p>
    <w:p>
      <w:pPr>
        <w:pStyle w:val="FirstParagraph"/>
      </w:pPr>
      <w:r>
        <w:t xml:space="preserve">Tutto in questa roadmap poggia su una capacità:</w:t>
      </w:r>
      <w:r>
        <w:t xml:space="preserve"> </w:t>
      </w:r>
      <w:r>
        <w:rPr>
          <w:b/>
          <w:bCs/>
        </w:rPr>
        <w:t xml:space="preserve">distinguere in modo affidabile un browser umano da uno scraper AI al momento della richiesta</w:t>
      </w:r>
      <w:r>
        <w:t xml:space="preserve">. Se la detection fallisce, l’intero modello economico crolla — gli scraper aggirano il gate 401 e non entrano mai nel funnel di pagamento.</w:t>
      </w:r>
    </w:p>
    <w:bookmarkStart w:id="19" w:name="Xd81edb31c9326700d8f9e2c0e06f84cbb3219fe"/>
    <w:p>
      <w:pPr>
        <w:pStyle w:val="Heading3"/>
      </w:pPr>
      <w:r>
        <w:t xml:space="preserve">Come funziona la distinzione oggi in IOTA Web Guardian</w:t>
      </w:r>
    </w:p>
    <w:p>
      <w:pPr>
        <w:pStyle w:val="FirstParagraph"/>
      </w:pPr>
      <w:r>
        <w:t xml:space="preserve">Il sistema non è puro fingerprinting. È</w:t>
      </w:r>
      <w:r>
        <w:t xml:space="preserve"> </w:t>
      </w:r>
      <w:r>
        <w:rPr>
          <w:b/>
          <w:bCs/>
        </w:rPr>
        <w:t xml:space="preserve">opt-in tramite Verifiable Presentation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Browser umano → richiesta standard → 200 OK + contenuto.</w:t>
      </w:r>
    </w:p>
    <w:p>
      <w:pPr>
        <w:pStyle w:val="Compact"/>
        <w:numPr>
          <w:ilvl w:val="0"/>
          <w:numId w:val="1003"/>
        </w:numPr>
      </w:pPr>
      <w:r>
        <w:t xml:space="preserve">AI agent compliant (x402-aware) → riceve 401 → presenta una Verifiable Presentation firmata dal suo DID → 402 Payment Required → paga su IOTA L1 → riceve Guardian JWT → 200 OK.</w:t>
      </w:r>
    </w:p>
    <w:p>
      <w:pPr>
        <w:pStyle w:val="Compact"/>
        <w:numPr>
          <w:ilvl w:val="0"/>
          <w:numId w:val="1003"/>
        </w:numPr>
      </w:pPr>
      <w:r>
        <w:t xml:space="preserve">Scraper AI non-compliant → bloccato a 401 perché non sa rispondere alla challenge.</w:t>
      </w:r>
    </w:p>
    <w:p>
      <w:pPr>
        <w:pStyle w:val="FirstParagraph"/>
      </w:pPr>
      <w:r>
        <w:t xml:space="preserve">La domanda tecnica non è quindi</w:t>
      </w:r>
      <w:r>
        <w:t xml:space="preserve"> </w:t>
      </w:r>
      <w:r>
        <w:t xml:space="preserve">“come faccio fingerprint di un bot”</w:t>
      </w:r>
      <w:r>
        <w:t xml:space="preserve"> </w:t>
      </w:r>
      <w:r>
        <w:t xml:space="preserve">ma:</w:t>
      </w:r>
      <w:r>
        <w:t xml:space="preserve"> </w:t>
      </w:r>
      <w:r>
        <w:rPr>
          <w:b/>
          <w:bCs/>
        </w:rPr>
        <w:t xml:space="preserve">come impediamo a uno scraper di mascherarsi da browser umano e bypassare completamente il 401?</w:t>
      </w:r>
    </w:p>
    <w:bookmarkEnd w:id="19"/>
    <w:bookmarkStart w:id="20" w:name="i-quattro-vettori-dattacco"/>
    <w:p>
      <w:pPr>
        <w:pStyle w:val="Heading3"/>
      </w:pPr>
      <w:r>
        <w:t xml:space="preserve">I quattro vettori d’attacco</w:t>
      </w:r>
    </w:p>
    <w:p>
      <w:pPr>
        <w:pStyle w:val="FirstParagraph"/>
      </w:pPr>
      <w:r>
        <w:rPr>
          <w:b/>
          <w:bCs/>
        </w:rPr>
        <w:t xml:space="preserve">1. Scraper headless che si maschera da browser umano</w:t>
      </w:r>
      <w:r>
        <w:t xml:space="preserve"> </w:t>
      </w:r>
      <w:r>
        <w:t xml:space="preserve">Un Puppeteer / Playwright / Selenium con UA Chrome reale, JS attivo, cookie, viewport realistico può sembrare identico a un Mac di un utente reale. Se passa il filtro iniziale, riceve 200 OK senza pagare.</w:t>
      </w:r>
    </w:p>
    <w:p>
      <w:pPr>
        <w:pStyle w:val="BodyText"/>
      </w:pPr>
      <w:r>
        <w:rPr>
          <w:i/>
          <w:iCs/>
        </w:rPr>
        <w:t xml:space="preserve">Mitigazioni:</w:t>
      </w:r>
      <w:r>
        <w:t xml:space="preserve"> </w:t>
      </w:r>
      <w:r>
        <w:t xml:space="preserve">TLS JA4 fingerprinting (Chrome reale e Chromium headless hanno signature TLS distinte), HTTP/2 settings frame fingerprint, analisi dell’ordine degli header, behavioral signals (no fetch CSS/JS, no referrer interno), challenge progressiva proof-of-work per casi sospetti, honeypot link.</w:t>
      </w:r>
    </w:p>
    <w:p>
      <w:pPr>
        <w:pStyle w:val="BodyText"/>
      </w:pPr>
      <w:r>
        <w:rPr>
          <w:b/>
          <w:bCs/>
        </w:rPr>
        <w:t xml:space="preserve">2. Browser umano falsamente classificato come bot</w:t>
      </w:r>
      <w:r>
        <w:t xml:space="preserve"> </w:t>
      </w:r>
      <w:r>
        <w:t xml:space="preserve">Peggio dell’attacco diretto: se un visitatore reale riceve 401, il publisher perde il visitatore e la fiducia nel sistema crolla.</w:t>
      </w:r>
    </w:p>
    <w:p>
      <w:pPr>
        <w:pStyle w:val="BodyText"/>
      </w:pPr>
      <w:r>
        <w:rPr>
          <w:i/>
          <w:iCs/>
        </w:rPr>
        <w:t xml:space="preserve">Mitigazioni:</w:t>
      </w:r>
      <w:r>
        <w:t xml:space="preserve"> </w:t>
      </w:r>
      <w:r>
        <w:t xml:space="preserve">default-permissivo sul primo hit, classificazione asincrona, allowlist accessibilità (screen reader, utenti NoScript), allowlist crawler verificati (Googlebot, Bingbot via reverse DNS), path</w:t>
      </w:r>
      <w:r>
        <w:t xml:space="preserve"> </w:t>
      </w:r>
      <w:r>
        <w:t xml:space="preserve">“I am human”</w:t>
      </w:r>
      <w:r>
        <w:t xml:space="preserve"> </w:t>
      </w:r>
      <w:r>
        <w:t xml:space="preserve">sempre disponibile, telemetria di falsi positivi visibile ai publisher.</w:t>
      </w:r>
    </w:p>
    <w:p>
      <w:pPr>
        <w:pStyle w:val="BodyText"/>
      </w:pPr>
      <w:r>
        <w:rPr>
          <w:b/>
          <w:bCs/>
        </w:rPr>
        <w:t xml:space="preserve">3. Replay / forging di Verifiable Presentation</w:t>
      </w:r>
      <w:r>
        <w:t xml:space="preserve"> </w:t>
      </w:r>
      <w:r>
        <w:t xml:space="preserve">Un agent paga una volta, riceve JWT, lo condivide con altri 1000 agent.</w:t>
      </w:r>
    </w:p>
    <w:p>
      <w:pPr>
        <w:pStyle w:val="BodyText"/>
      </w:pPr>
      <w:r>
        <w:rPr>
          <w:i/>
          <w:iCs/>
        </w:rPr>
        <w:t xml:space="preserve">Mitigazioni:</w:t>
      </w:r>
      <w:r>
        <w:t xml:space="preserve"> </w:t>
      </w:r>
      <w:r>
        <w:t xml:space="preserve">VP legata a nonce specifico della richiesta + timestamp + hash dell’URL, JWT legato a IP+UA+DID con re-auth al cambio di contesto, TTL corto (1h), rotazione del nonce, revoca on-chain del DID se compromesso.</w:t>
      </w:r>
    </w:p>
    <w:p>
      <w:pPr>
        <w:pStyle w:val="BodyText"/>
      </w:pPr>
      <w:r>
        <w:rPr>
          <w:b/>
          <w:bCs/>
        </w:rPr>
        <w:t xml:space="preserve">4. Sybil attack sui DID</w:t>
      </w:r>
      <w:r>
        <w:t xml:space="preserve"> </w:t>
      </w:r>
      <w:r>
        <w:t xml:space="preserve">Un attacker genera 100k DID a costo quasi-zero per aggirare il rate limiting per-DID.</w:t>
      </w:r>
    </w:p>
    <w:p>
      <w:pPr>
        <w:pStyle w:val="BodyText"/>
      </w:pPr>
      <w:r>
        <w:rPr>
          <w:i/>
          <w:iCs/>
        </w:rPr>
        <w:t xml:space="preserve">Mitigazioni:</w:t>
      </w:r>
      <w:r>
        <w:t xml:space="preserve"> </w:t>
      </w:r>
      <w:r>
        <w:t xml:space="preserve">rate limiting combinato per-DID e per-origine, pagamento minimo leggermente sopra zero così che 100k VP diventino antieconomici, reputation score per DID (DID nuovi limitati, storico pulito in fast-lane).</w:t>
      </w:r>
    </w:p>
    <w:bookmarkEnd w:id="20"/>
    <w:bookmarkStart w:id="21" w:name="framing-onesto-per-il-pitch"/>
    <w:p>
      <w:pPr>
        <w:pStyle w:val="Heading3"/>
      </w:pPr>
      <w:r>
        <w:t xml:space="preserve">Framing onesto per il pitch</w:t>
      </w:r>
    </w:p>
    <w:p>
      <w:pPr>
        <w:pStyle w:val="FirstParagraph"/>
      </w:pPr>
      <w:r>
        <w:t xml:space="preserve">I sistemi anti-bot perfetti non esistono. Cloudflare, con miliardi di dati e risorse, viene aggirato ogni giorno. La nostra posizione difendibile non è</w:t>
      </w:r>
      <w:r>
        <w:t xml:space="preserve"> </w:t>
      </w:r>
      <w:r>
        <w:t xml:space="preserve">“siamo imbattibili”</w:t>
      </w:r>
      <w:r>
        <w:t xml:space="preserve"> </w:t>
      </w:r>
      <w:r>
        <w:t xml:space="preserve">ma:</w:t>
      </w:r>
    </w:p>
    <w:p>
      <w:pPr>
        <w:pStyle w:val="BlockText"/>
      </w:pPr>
      <w:r>
        <w:rPr>
          <w:b/>
          <w:bCs/>
        </w:rPr>
        <w:t xml:space="preserve">“Cambiamo l’incentivo economico: oggi scrapare è gratis; con noi, scrapare costa più che pagare. Rendiamo il bypass non-redditizio, non impossibile.”</w:t>
      </w:r>
    </w:p>
    <w:p>
      <w:pPr>
        <w:pStyle w:val="FirstParagraph"/>
      </w:pPr>
      <w:r>
        <w:t xml:space="preserve">È una posizione più onesta e più difendibile. Ci protegge anche dal giorno in cui qualcuno troverà un bypass: non è game over, è un parametro da tunare.</w:t>
      </w:r>
    </w:p>
    <w:p>
      <w:r>
        <w:br w:type="page"/>
      </w:r>
    </w:p>
    <w:bookmarkEnd w:id="21"/>
    <w:bookmarkEnd w:id="22"/>
    <w:bookmarkStart w:id="26" w:name="Xf8d5e20e77d51f462530384248547d3a5674326"/>
    <w:p>
      <w:pPr>
        <w:pStyle w:val="Heading2"/>
      </w:pPr>
      <w:r>
        <w:t xml:space="preserve">7. Decisioni Strategiche da Prendere Prima del Q3</w:t>
      </w:r>
    </w:p>
    <w:bookmarkStart w:id="23" w:name="decisione-1-modello-custodial"/>
    <w:p>
      <w:pPr>
        <w:pStyle w:val="Heading3"/>
      </w:pPr>
      <w:r>
        <w:t xml:space="preserve">Decisione 1 — Modello custodial</w:t>
      </w:r>
    </w:p>
    <w:p>
      <w:pPr>
        <w:pStyle w:val="FirstParagraph"/>
      </w:pPr>
      <w:r>
        <w:t xml:space="preserve">La singola scelta architetturale più impattante del 2026. Due strade:</w:t>
      </w:r>
    </w:p>
    <w:p>
      <w:pPr>
        <w:pStyle w:val="BodyText"/>
      </w:pPr>
      <w:r>
        <w:rPr>
          <w:b/>
          <w:bCs/>
        </w:rPr>
        <w:t xml:space="preserve">A. Custodiamo noi i fondi degli utenti</w:t>
      </w:r>
      <w:r>
        <w:t xml:space="preserve"> </w:t>
      </w:r>
      <w:r>
        <w:t xml:space="preserve">- Pro: pieno controllo, integrazione più semplice, margini migliori.</w:t>
      </w:r>
      <w:r>
        <w:t xml:space="preserve"> </w:t>
      </w:r>
      <w:r>
        <w:t xml:space="preserve">- Contro: diventiamo fund custodian → KYC / AML / possibile licenza PSP in EU. Overhead di compliance enorme.</w:t>
      </w:r>
    </w:p>
    <w:p>
      <w:pPr>
        <w:pStyle w:val="BodyText"/>
      </w:pPr>
      <w:r>
        <w:rPr>
          <w:b/>
          <w:bCs/>
        </w:rPr>
        <w:t xml:space="preserve">B. Custodisce un partner (consigliato)</w:t>
      </w:r>
      <w:r>
        <w:t xml:space="preserve"> </w:t>
      </w:r>
      <w:r>
        <w:t xml:space="preserve">- Pro: zero rischio regolatorio per noi nel 2026; ci concentriamo sul prodotto.</w:t>
      </w:r>
      <w:r>
        <w:t xml:space="preserve"> </w:t>
      </w:r>
      <w:r>
        <w:t xml:space="preserve">- Contro: meno controllo, dipendenza dal pricing e affidabilità del partner.</w:t>
      </w:r>
    </w:p>
    <w:p>
      <w:pPr>
        <w:pStyle w:val="BodyText"/>
      </w:pPr>
      <w:r>
        <w:rPr>
          <w:b/>
          <w:bCs/>
        </w:rPr>
        <w:t xml:space="preserve">Proposta:</w:t>
      </w:r>
      <w:r>
        <w:t xml:space="preserve"> </w:t>
      </w:r>
      <w:r>
        <w:t xml:space="preserve">scegliamo B per il 2026. Domanda aperta da portare a IOTA Foundation:</w:t>
      </w:r>
      <w:r>
        <w:t xml:space="preserve"> </w:t>
      </w:r>
      <w:r>
        <w:t xml:space="preserve">“avete già partner custodian / on-ramp integrati con cui possiamo connetterci?”</w:t>
      </w:r>
    </w:p>
    <w:bookmarkEnd w:id="23"/>
    <w:bookmarkStart w:id="24" w:name="Xf2fc11e3ccaef488f72ee49b162a58dcadbe81b"/>
    <w:p>
      <w:pPr>
        <w:pStyle w:val="Heading3"/>
      </w:pPr>
      <w:r>
        <w:t xml:space="preserve">Decisione 2 — Magic.link come riferimento, non competitor</w:t>
      </w:r>
    </w:p>
    <w:p>
      <w:pPr>
        <w:pStyle w:val="FirstParagraph"/>
      </w:pPr>
      <w:r>
        <w:t xml:space="preserve">IOTA Foundation ha suggerito di guardare Magic.link (magic.link). La nostra lettura:</w:t>
      </w:r>
    </w:p>
    <w:p>
      <w:pPr>
        <w:pStyle w:val="Compact"/>
        <w:numPr>
          <w:ilvl w:val="0"/>
          <w:numId w:val="1004"/>
        </w:numPr>
      </w:pPr>
      <w:r>
        <w:t xml:space="preserve">Loro fanno</w:t>
      </w:r>
      <w:r>
        <w:t xml:space="preserve"> </w:t>
      </w:r>
      <w:r>
        <w:rPr>
          <w:b/>
          <w:bCs/>
        </w:rPr>
        <w:t xml:space="preserve">infrastruttura orizzontale</w:t>
      </w:r>
      <w:r>
        <w:t xml:space="preserve">: 53M+ wallet provisionati, 200K developer, 18K app integrate, dal 2018. SOC 2 Type 2, ISO 27001:2022, GDPR. Wallet in TEE (Trusted Execution Environments), non database in chiaro. Latenza sub-secondo (50–100ms) su creazione wallet e firma.</w:t>
      </w:r>
    </w:p>
    <w:p>
      <w:pPr>
        <w:pStyle w:val="Compact"/>
        <w:numPr>
          <w:ilvl w:val="0"/>
          <w:numId w:val="1004"/>
        </w:numPr>
      </w:pPr>
      <w:r>
        <w:t xml:space="preserve">Il loro pricing è per</w:t>
      </w:r>
      <w:r>
        <w:t xml:space="preserve"> </w:t>
      </w:r>
      <w:r>
        <w:rPr>
          <w:b/>
          <w:bCs/>
        </w:rPr>
        <w:t xml:space="preserve">Monthly Active Wallet (MAW)</w:t>
      </w:r>
      <w:r>
        <w:t xml:space="preserve">, con firme illimitate. Free fino a 1000 MAW; $99/mo fino a 2500.</w:t>
      </w:r>
    </w:p>
    <w:p>
      <w:pPr>
        <w:pStyle w:val="Compact"/>
        <w:numPr>
          <w:ilvl w:val="0"/>
          <w:numId w:val="1004"/>
        </w:numPr>
      </w:pPr>
      <w:r>
        <w:t xml:space="preserve">Stanno lanciando</w:t>
      </w:r>
      <w:r>
        <w:t xml:space="preserve"> </w:t>
      </w:r>
      <w:r>
        <w:rPr>
          <w:b/>
          <w:bCs/>
        </w:rPr>
        <w:t xml:space="preserve">Newton Protocol</w:t>
      </w:r>
      <w:r>
        <w:t xml:space="preserve">, un policy layer che governa le azioni on-chain di AI agent — adiacente al nostro spazio ma più generale.</w:t>
      </w:r>
    </w:p>
    <w:p>
      <w:pPr>
        <w:pStyle w:val="FirstParagraph"/>
      </w:pPr>
      <w:r>
        <w:rPr>
          <w:b/>
          <w:bCs/>
        </w:rPr>
        <w:t xml:space="preserve">Cosa impariamo da loro: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Pattern di pricing MAW</w:t>
      </w:r>
      <w:r>
        <w:t xml:space="preserve"> </w:t>
      </w:r>
      <w:r>
        <w:t xml:space="preserve">— costo prevedibile per il publisher, scalabile col business reale e non con il volume di scraper. Da considerare per il nostro pricing model.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“Sub-second latency”</w:t>
      </w:r>
      <w:r>
        <w:rPr>
          <w:b/>
          <w:bCs/>
        </w:rPr>
        <w:t xml:space="preserve"> </w:t>
      </w:r>
      <w:r>
        <w:rPr>
          <w:b/>
          <w:bCs/>
        </w:rPr>
        <w:t xml:space="preserve">è il pitch giusto</w:t>
      </w:r>
      <w:r>
        <w:t xml:space="preserve"> </w:t>
      </w:r>
      <w:r>
        <w:t xml:space="preserve">— conferma che il nostro JWT cached path (~50ms) è il messaggio che il pubblico Web2 si aspetta.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TEE è la baseline di sicurezza</w:t>
      </w:r>
      <w:r>
        <w:t xml:space="preserve"> </w:t>
      </w:r>
      <w:r>
        <w:t xml:space="preserve">— quando discuteremo modalità custodial in Q3, il riferimento standard è</w:t>
      </w:r>
      <w:r>
        <w:t xml:space="preserve"> </w:t>
      </w:r>
      <w:r>
        <w:t xml:space="preserve">“TEE-based, non DB in chiaro”</w:t>
      </w:r>
      <w:r>
        <w:t xml:space="preserve">. Citarlo nel deck cambia la percezione.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Login email/social/SSO è ormai baseline</w:t>
      </w:r>
      <w:r>
        <w:t xml:space="preserve"> </w:t>
      </w:r>
      <w:r>
        <w:t xml:space="preserve">— non chiedere mai una seed phrase non è più una feature, è un requisito di igiene.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Whitelabel UI è atteso</w:t>
      </w:r>
      <w:r>
        <w:t xml:space="preserve"> </w:t>
      </w:r>
      <w:r>
        <w:t xml:space="preserve">— i publisher non vogliono il nostro brand sopra al loro.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Newton Protocol segnala la direzione del mercato</w:t>
      </w:r>
      <w:r>
        <w:t xml:space="preserve"> </w:t>
      </w:r>
      <w:r>
        <w:t xml:space="preserve">—</w:t>
      </w:r>
      <w:r>
        <w:t xml:space="preserve"> </w:t>
      </w:r>
      <w:r>
        <w:t xml:space="preserve">“AI agent che agiscono on-chain sotto policy”</w:t>
      </w:r>
      <w:r>
        <w:t xml:space="preserve"> </w:t>
      </w:r>
      <w:r>
        <w:t xml:space="preserve">è uno spazio caldo. Magic fa general purpose; noi facciamo una verticale specifica (accesso a contenuti publisher via x402+VP). Potenzialmente complementari, non competitor.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Compliance come narrativa</w:t>
      </w:r>
      <w:r>
        <w:t xml:space="preserve"> </w:t>
      </w:r>
      <w:r>
        <w:t xml:space="preserve">— SOC 2, ISO 27001, GDPR sono in homepage da loro. Per publisher Web2 (specie media EU regolamentati), questa è la lista della spesa che ci chiederanno. Non serve averle subito, ma serve una compliance roadmap credibile.</w:t>
      </w:r>
    </w:p>
    <w:p>
      <w:pPr>
        <w:pStyle w:val="FirstParagraph"/>
      </w:pPr>
      <w:r>
        <w:rPr>
          <w:b/>
          <w:bCs/>
        </w:rPr>
        <w:t xml:space="preserve">Domanda strategica da portare alla prossima call IOTA:</w:t>
      </w:r>
      <w:r>
        <w:t xml:space="preserve"> </w:t>
      </w:r>
      <w:r>
        <w:t xml:space="preserve">ha senso che diventiamo</w:t>
      </w:r>
      <w:r>
        <w:t xml:space="preserve"> </w:t>
      </w:r>
      <w:r>
        <w:t xml:space="preserve">“il livello verticale”</w:t>
      </w:r>
      <w:r>
        <w:t xml:space="preserve"> </w:t>
      </w:r>
      <w:r>
        <w:t xml:space="preserve">— appoggiandoci su un’infrastruttura come Magic, più la nostra logica x402+VP+content-gating sopra — invece di reinventare il pezzo di wallet provisioning? Sarebbe un go-to-market 10× più veloce.</w:t>
      </w:r>
    </w:p>
    <w:bookmarkEnd w:id="24"/>
    <w:bookmarkStart w:id="25" w:name="decisione-3-split-niccolò-paolo"/>
    <w:p>
      <w:pPr>
        <w:pStyle w:val="Heading3"/>
      </w:pPr>
      <w:r>
        <w:t xml:space="preserve">Decisione 3 — Split Niccolò / Paolo</w:t>
      </w:r>
    </w:p>
    <w:p>
      <w:pPr>
        <w:pStyle w:val="FirstParagraph"/>
      </w:pPr>
      <w:r>
        <w:t xml:space="preserve">Divisione suggerita per evitare duplicazioni: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Niccolò</w:t>
      </w:r>
      <w:r>
        <w:t xml:space="preserve"> </w:t>
      </w:r>
      <w:r>
        <w:t xml:space="preserve">— performance, sicurezza, infrastruttura, detection robustness, threat model, audit.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Paolo</w:t>
      </w:r>
      <w:r>
        <w:t xml:space="preserve"> </w:t>
      </w:r>
      <w:r>
        <w:t xml:space="preserve">— UX WordPress, wizard di onboarding, documentazione publisher, marketplace listing, distribuzione, publisher pilota.</w:t>
      </w:r>
    </w:p>
    <w:p>
      <w:pPr>
        <w:pStyle w:val="FirstParagraph"/>
      </w:pPr>
      <w:r>
        <w:t xml:space="preserve">In comune: pitch deck, evento Berlino, relazione con IOTA Foundation, report di fine anno.</w:t>
      </w:r>
    </w:p>
    <w:p>
      <w:r>
        <w:br w:type="page"/>
      </w:r>
    </w:p>
    <w:bookmarkEnd w:id="25"/>
    <w:bookmarkEnd w:id="26"/>
    <w:bookmarkStart w:id="27" w:name="kpi-fine-dicembre-2026"/>
    <w:p>
      <w:pPr>
        <w:pStyle w:val="Heading2"/>
      </w:pPr>
      <w:r>
        <w:t xml:space="preserve">8. KPI — Fine Dicembre 2026</w:t>
      </w:r>
    </w:p>
    <w:p>
      <w:pPr>
        <w:pStyle w:val="FirstParagraph"/>
      </w:pPr>
      <w:r>
        <w:t xml:space="preserve">Target per valutare l’anno: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Publisher reali onboarded (paganti o non)</w:t>
            </w:r>
          </w:p>
        </w:tc>
        <w:tc>
          <w:tcPr/>
          <w:p>
            <w:pPr>
              <w:pStyle w:val="Compact"/>
            </w:pPr>
            <w:r>
              <w:t xml:space="preserve">≥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Listing plugin WordPress.org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Benchmark pubblico con p50/p95/p99 misurati</w:t>
            </w:r>
          </w:p>
        </w:tc>
        <w:tc>
          <w:tcPr/>
          <w:p>
            <w:pPr>
              <w:pStyle w:val="Compact"/>
            </w:pPr>
            <w:r>
              <w:t xml:space="preserve">Pubblicato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Documento di threat model</w:t>
            </w:r>
          </w:p>
        </w:tc>
        <w:tc>
          <w:tcPr/>
          <w:p>
            <w:pPr>
              <w:pStyle w:val="Compact"/>
            </w:pPr>
            <w:r>
              <w:t xml:space="preserve">Pubblicato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di sicurezza esterno (light)</w:t>
            </w:r>
          </w:p>
        </w:tc>
        <w:tc>
          <w:tcPr/>
          <w:p>
            <w:pPr>
              <w:pStyle w:val="Compact"/>
            </w:pPr>
            <w:r>
              <w:t xml:space="preserve">Completato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Tentativi di bypass detection documentati e affrontati</w:t>
            </w:r>
          </w:p>
        </w:tc>
        <w:tc>
          <w:tcPr/>
          <w:p>
            <w:pPr>
              <w:pStyle w:val="Compact"/>
            </w:pPr>
            <w:r>
              <w:t xml:space="preserve">Tutti i vettori noti mitigati a</w:t>
            </w:r>
            <w:r>
              <w:t xml:space="preserve"> </w:t>
            </w:r>
            <w:r>
              <w:t xml:space="preserve">“non-economici”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Partner custodian / on-ramp integrato</w:t>
            </w:r>
          </w:p>
        </w:tc>
        <w:tc>
          <w:tcPr/>
          <w:p>
            <w:pPr>
              <w:pStyle w:val="Compact"/>
            </w:pPr>
            <w:r>
              <w:t xml:space="preserve">Almeno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Case study con numeri reali</w:t>
            </w:r>
          </w:p>
        </w:tc>
        <w:tc>
          <w:tcPr/>
          <w:p>
            <w:pPr>
              <w:pStyle w:val="Compact"/>
            </w:pPr>
            <w:r>
              <w:t xml:space="preserve">≥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Whitepaper pubblico sulla metodologia di detection</w:t>
            </w:r>
          </w:p>
        </w:tc>
        <w:tc>
          <w:tcPr/>
          <w:p>
            <w:pPr>
              <w:pStyle w:val="Compact"/>
            </w:pPr>
            <w:r>
              <w:t xml:space="preserve">Pubblicato</w:t>
            </w:r>
          </w:p>
        </w:tc>
      </w:tr>
    </w:tbl>
    <w:p>
      <w:r>
        <w:br w:type="page"/>
      </w:r>
    </w:p>
    <w:bookmarkEnd w:id="27"/>
    <w:bookmarkStart w:id="28" w:name="principi-trasversali"/>
    <w:p>
      <w:pPr>
        <w:pStyle w:val="Heading2"/>
      </w:pPr>
      <w:r>
        <w:t xml:space="preserve">9. Principi Trasversali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Regola</w:t>
      </w:r>
      <w:r>
        <w:rPr>
          <w:b/>
          <w:bCs/>
        </w:rPr>
        <w:t xml:space="preserve"> </w:t>
      </w:r>
      <w:r>
        <w:rPr>
          <w:b/>
          <w:bCs/>
        </w:rPr>
        <w:t xml:space="preserve">“no new features”</w:t>
      </w:r>
      <w:r>
        <w:rPr>
          <w:b/>
          <w:bCs/>
        </w:rPr>
        <w:t xml:space="preserve">.</w:t>
      </w:r>
      <w:r>
        <w:t xml:space="preserve"> </w:t>
      </w:r>
      <w:r>
        <w:t xml:space="preserve">Ogni richiesta di feature in arrivo va in un backlog 2027. Da scrivere come policy nel README del progetto e in CLAUDE.md.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Bug bounty come segnale.</w:t>
      </w:r>
      <w:r>
        <w:t xml:space="preserve"> </w:t>
      </w:r>
      <w:r>
        <w:t xml:space="preserve">Anche un programma piccolo segnala apertura allo scrutinio — vale più del suo importo in dollari.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Detection come fondazione, non feature.</w:t>
      </w:r>
      <w:r>
        <w:t xml:space="preserve"> </w:t>
      </w:r>
      <w:r>
        <w:t xml:space="preserve">Binario continuo attraverso tutti i trimestri. Se la detection si rompe, tutto si rompe.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Web2 in prima impressione, Web3 sotto il cofano.</w:t>
      </w:r>
      <w:r>
        <w:t xml:space="preserve"> </w:t>
      </w:r>
      <w:r>
        <w:t xml:space="preserve">I publisher non dovrebbero mai aver bisogno di sapere che esiste un DID, a meno che lo vogliano.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Onestà nei numeri.</w:t>
      </w:r>
      <w:r>
        <w:t xml:space="preserve"> </w:t>
      </w:r>
      <w:r>
        <w:t xml:space="preserve">Sostituire ogni stima placeholder con una misurazione. La fiducia dipende da questo.</w:t>
      </w:r>
    </w:p>
    <w:p>
      <w:r>
        <w:br w:type="page"/>
      </w:r>
    </w:p>
    <w:bookmarkEnd w:id="28"/>
    <w:bookmarkStart w:id="29" w:name="rischi-e-domande-aperte"/>
    <w:p>
      <w:pPr>
        <w:pStyle w:val="Heading2"/>
      </w:pPr>
      <w:r>
        <w:t xml:space="preserve">10. Rischi e Domande Aperte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Rischio</w:t>
            </w:r>
          </w:p>
        </w:tc>
        <w:tc>
          <w:tcPr/>
          <w:p>
            <w:pPr>
              <w:pStyle w:val="Compact"/>
            </w:pPr>
            <w:r>
              <w:t xml:space="preserve">Probabilità</w:t>
            </w:r>
          </w:p>
        </w:tc>
        <w:tc>
          <w:tcPr/>
          <w:p>
            <w:pPr>
              <w:pStyle w:val="Compact"/>
            </w:pPr>
            <w:r>
              <w:t xml:space="preserve">Impatto</w:t>
            </w:r>
          </w:p>
        </w:tc>
        <w:tc>
          <w:tcPr/>
          <w:p>
            <w:pPr>
              <w:pStyle w:val="Compact"/>
            </w:pPr>
            <w:r>
              <w:t xml:space="preserve">Mitigazione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Bypass scoperto dopo lancio pubblico</w:t>
            </w:r>
          </w:p>
        </w:tc>
        <w:tc>
          <w:tcPr/>
          <w:p>
            <w:pPr>
              <w:pStyle w:val="Compact"/>
            </w:pPr>
            <w:r>
              <w:t xml:space="preserve">Alta</w:t>
            </w:r>
          </w:p>
        </w:tc>
        <w:tc>
          <w:tcPr/>
          <w:p>
            <w:pPr>
              <w:pStyle w:val="Compact"/>
            </w:pPr>
            <w:r>
              <w:t xml:space="preserve">Medio</w:t>
            </w:r>
          </w:p>
        </w:tc>
        <w:tc>
          <w:tcPr/>
          <w:p>
            <w:pPr>
              <w:pStyle w:val="Compact"/>
            </w:pPr>
            <w:r>
              <w:t xml:space="preserve">Bug bounty, patching rapido, detection a strati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Partner custodian non disponibile / troppo costoso</w:t>
            </w:r>
          </w:p>
        </w:tc>
        <w:tc>
          <w:tcPr/>
          <w:p>
            <w:pPr>
              <w:pStyle w:val="Compact"/>
            </w:pPr>
            <w:r>
              <w:t xml:space="preserve">Media</w:t>
            </w:r>
          </w:p>
        </w:tc>
        <w:tc>
          <w:tcPr/>
          <w:p>
            <w:pPr>
              <w:pStyle w:val="Compact"/>
            </w:pPr>
            <w:r>
              <w:t xml:space="preserve">Alta</w:t>
            </w:r>
          </w:p>
        </w:tc>
        <w:tc>
          <w:tcPr/>
          <w:p>
            <w:pPr>
              <w:pStyle w:val="Compact"/>
            </w:pPr>
            <w:r>
              <w:t xml:space="preserve">Valutare ≥2 partner in Q2; fallback a sola modalità non-custodial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agent legittimi non adottano x402</w:t>
            </w:r>
          </w:p>
        </w:tc>
        <w:tc>
          <w:tcPr/>
          <w:p>
            <w:pPr>
              <w:pStyle w:val="Compact"/>
            </w:pPr>
            <w:r>
              <w:t xml:space="preserve">Media</w:t>
            </w:r>
          </w:p>
        </w:tc>
        <w:tc>
          <w:tcPr/>
          <w:p>
            <w:pPr>
              <w:pStyle w:val="Compact"/>
            </w:pPr>
            <w:r>
              <w:t xml:space="preserve">Alta</w:t>
            </w:r>
          </w:p>
        </w:tc>
        <w:tc>
          <w:tcPr/>
          <w:p>
            <w:pPr>
              <w:pStyle w:val="Compact"/>
            </w:pPr>
            <w:r>
              <w:t xml:space="preserve">SDK lato domanda (Q4) + outreach Anthropic / OpenAI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WordPress.org rifiuta la submission del plugin</w:t>
            </w:r>
          </w:p>
        </w:tc>
        <w:tc>
          <w:tcPr/>
          <w:p>
            <w:pPr>
              <w:pStyle w:val="Compact"/>
            </w:pPr>
            <w:r>
              <w:t xml:space="preserve">Bassa</w:t>
            </w:r>
          </w:p>
        </w:tc>
        <w:tc>
          <w:tcPr/>
          <w:p>
            <w:pPr>
              <w:pStyle w:val="Compact"/>
            </w:pPr>
            <w:r>
              <w:t xml:space="preserve">Medio</w:t>
            </w:r>
          </w:p>
        </w:tc>
        <w:tc>
          <w:tcPr/>
          <w:p>
            <w:pPr>
              <w:pStyle w:val="Compact"/>
            </w:pPr>
            <w:r>
              <w:t xml:space="preserve">Review di compliance pre-submission con linee guida WP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Regressione di latenza su upgrade IOTA testnet</w:t>
            </w:r>
          </w:p>
        </w:tc>
        <w:tc>
          <w:tcPr/>
          <w:p>
            <w:pPr>
              <w:pStyle w:val="Compact"/>
            </w:pPr>
            <w:r>
              <w:t xml:space="preserve">Media</w:t>
            </w:r>
          </w:p>
        </w:tc>
        <w:tc>
          <w:tcPr/>
          <w:p>
            <w:pPr>
              <w:pStyle w:val="Compact"/>
            </w:pPr>
            <w:r>
              <w:t xml:space="preserve">Medio</w:t>
            </w:r>
          </w:p>
        </w:tc>
        <w:tc>
          <w:tcPr/>
          <w:p>
            <w:pPr>
              <w:pStyle w:val="Compact"/>
            </w:pPr>
            <w:r>
              <w:t xml:space="preserve">Pipeline di benchmark continuo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Richiesta di compliance da grande publisher (SOC 2 ecc.)</w:t>
            </w:r>
          </w:p>
        </w:tc>
        <w:tc>
          <w:tcPr/>
          <w:p>
            <w:pPr>
              <w:pStyle w:val="Compact"/>
            </w:pPr>
            <w:r>
              <w:t xml:space="preserve">Media</w:t>
            </w:r>
          </w:p>
        </w:tc>
        <w:tc>
          <w:tcPr/>
          <w:p>
            <w:pPr>
              <w:pStyle w:val="Compact"/>
            </w:pPr>
            <w:r>
              <w:t xml:space="preserve">Medio</w:t>
            </w:r>
          </w:p>
        </w:tc>
        <w:tc>
          <w:tcPr/>
          <w:p>
            <w:pPr>
              <w:pStyle w:val="Compact"/>
            </w:pPr>
            <w:r>
              <w:t xml:space="preserve">Compliance roadmap pubblicata, target SOC 2 nel 2027</w:t>
            </w:r>
          </w:p>
        </w:tc>
      </w:tr>
    </w:tbl>
    <w:p>
      <w:r>
        <w:br w:type="page"/>
      </w:r>
    </w:p>
    <w:bookmarkEnd w:id="29"/>
    <w:bookmarkStart w:id="30" w:name="prossimi-passi-immediati"/>
    <w:p>
      <w:pPr>
        <w:pStyle w:val="Heading2"/>
      </w:pPr>
      <w:r>
        <w:t xml:space="preserve">11. Prossimi Passi (Immediati)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Review Niccolò + Paolo</w:t>
      </w:r>
      <w:r>
        <w:t xml:space="preserve"> </w:t>
      </w:r>
      <w:r>
        <w:t xml:space="preserve">di questo documento (entro le prossime 48h).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Invio via email</w:t>
      </w:r>
      <w:r>
        <w:t xml:space="preserve"> </w:t>
      </w:r>
      <w:r>
        <w:t xml:space="preserve">al team IOTA Foundation e agli advisor di supporto, con questo documento allegato.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Preparazione evento Berlino</w:t>
      </w:r>
      <w:r>
        <w:t xml:space="preserve"> </w:t>
      </w:r>
      <w:r>
        <w:t xml:space="preserve">(giugno) parte in parallelo al lavoro Q2.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Re-sync dopo Berlino</w:t>
      </w:r>
      <w:r>
        <w:t xml:space="preserve"> </w:t>
      </w:r>
      <w:r>
        <w:t xml:space="preserve">per aggiustare le priorità Q3 in base al feedback ricevuto lì.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Check-in mensile di avanzamento</w:t>
      </w:r>
      <w:r>
        <w:t xml:space="preserve"> </w:t>
      </w:r>
      <w:r>
        <w:t xml:space="preserve">con IOTA Foundation (cadenza proposta) per il resto del 2026.</w:t>
      </w:r>
    </w:p>
    <w:p>
      <w:pPr>
        <w:pStyle w:val="FirstParagraph"/>
      </w:pPr>
      <w:r>
        <w:rPr>
          <w:i/>
          <w:iCs/>
        </w:rPr>
        <w:t xml:space="preserve">Preparato per review interna di Niccolò e Paolo prima della condivisione con il team IOTA Foundation e gli advisor di progetto.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2026-04-28T07:12:28Z</dcterms:created>
  <dcterms:modified xsi:type="dcterms:W3CDTF">2026-04-28T07:12:28Z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