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jc w:val="center"/>
      </w:pPr>
    </w:p>
    <w:p>
      <w:pPr>
        <w:spacing w:after="200"/>
        <w:jc w:val="center"/>
      </w:pPr>
      <w:r>
        <w:rPr>
          <w:rFonts w:ascii="Calibri" w:cs="Calibri" w:eastAsia="Calibri" w:hAnsi="Calibri"/>
          <w:b/>
          <w:bCs/>
          <w:color w:val="1B4F72"/>
          <w:sz w:val="40"/>
          <w:szCs w:val="40"/>
        </w:rPr>
        <w:t xml:space="preserve">ANALISI TECNICA E STUDIO DI FATTIBILITÀ</w:t>
      </w:r>
    </w:p>
    <w:p>
      <w:pPr>
        <w:spacing w:after="100"/>
        <w:jc w:val="center"/>
      </w:pPr>
      <w:r>
        <w:rPr>
          <w:rFonts w:ascii="Calibri" w:cs="Calibri" w:eastAsia="Calibri" w:hAnsi="Calibri"/>
          <w:color w:val="2E86C1"/>
          <w:sz w:val="30"/>
          <w:szCs w:val="30"/>
        </w:rPr>
        <w:t xml:space="preserve">Piattaforma di Verifica e Attestazione Competenze</w:t>
      </w:r>
    </w:p>
    <w:p>
      <w:pPr>
        <w:spacing w:after="100"/>
        <w:jc w:val="center"/>
      </w:pPr>
      <w:r>
        <w:rPr>
          <w:rFonts w:ascii="Calibri" w:cs="Calibri" w:eastAsia="Calibri" w:hAnsi="Calibri"/>
          <w:color w:val="555555"/>
          <w:sz w:val="26"/>
          <w:szCs w:val="26"/>
        </w:rPr>
        <w:t xml:space="preserve">Cliente: Inlumia</w:t>
      </w:r>
    </w:p>
    <w:p>
      <w:pPr>
        <w:spacing w:after="600"/>
        <w:jc w:val="center"/>
      </w:pPr>
      <w:r>
        <w:rPr>
          <w:rFonts w:ascii="Calibri" w:cs="Calibri" w:eastAsia="Calibri" w:hAnsi="Calibri"/>
          <w:color w:val="888888"/>
          <w:sz w:val="22"/>
          <w:szCs w:val="22"/>
        </w:rPr>
        <w:t xml:space="preserve">Febbraio 2026</w:t>
      </w:r>
    </w:p>
    <w:p>
      <w:pPr>
        <w:pBdr>
          <w:top w:val="single" w:color="1B4F72" w:sz="2"/>
        </w:pBdr>
        <w:spacing w:after="100"/>
        <w:jc w:val="center"/>
      </w:pPr>
      <w:r>
        <w:rPr>
          <w:rFonts w:ascii="Calibri" w:cs="Calibri" w:eastAsia="Calibri" w:hAnsi="Calibri"/>
          <w:i/>
          <w:iCs/>
          <w:color w:val="999999"/>
          <w:sz w:val="20"/>
          <w:szCs w:val="20"/>
        </w:rPr>
        <w:t xml:space="preserve">Documento riservato – Uso interno</w:t>
      </w:r>
    </w:p>
    <w:p>
      <w:r>
        <w:br w:type="page"/>
      </w:r>
    </w:p>
    <w:p>
      <w:pPr>
        <w:pStyle w:val="Heading1"/>
        <w:spacing w:before="300" w:after="150"/>
      </w:pPr>
      <w:r>
        <w:rPr>
          <w:b/>
          <w:bCs/>
        </w:rPr>
        <w:t xml:space="preserve">1. Executive Summary</w:t>
      </w:r>
    </w:p>
    <w:p>
      <w:pPr>
        <w:spacing w:after="120"/>
        <w:jc w:val="both"/>
      </w:pPr>
      <w:r>
        <w:rPr>
          <w:rFonts w:ascii="Calibri" w:cs="Calibri" w:eastAsia="Calibri" w:hAnsi="Calibri"/>
          <w:sz w:val="22"/>
          <w:szCs w:val="22"/>
        </w:rPr>
        <w:t xml:space="preserve">Inlumia, ente formativo specializzato nel settore carrozzeria, richiede lo sviluppo di una piattaforma web per la verifica delle competenze acquisite dai partecipanti ai propri corsi professionali. Attualmente viene rilasciato un semplice attestato di partecipazione; il nuovo sistema introdurrà test a risposta multipla con generazione automatica di attestazioni di competenza in formato PDF.</w:t>
      </w:r>
    </w:p>
    <w:p>
      <w:pPr>
        <w:spacing w:after="120"/>
        <w:jc w:val="both"/>
      </w:pPr>
      <w:r>
        <w:rPr>
          <w:rFonts w:ascii="Calibri" w:cs="Calibri" w:eastAsia="Calibri" w:hAnsi="Calibri"/>
          <w:sz w:val="22"/>
          <w:szCs w:val="22"/>
        </w:rPr>
        <w:t xml:space="preserve">L’analisi che segue esamina entrambi i documenti forniti dal cliente (il progetto strategico e le specifiche tecniche per lo sviluppatore), identifica le criticità, propone soluzioni architetturali e fornisce una stima di effort e costi.</w:t>
      </w:r>
    </w:p>
    <w:p>
      <w:r>
        <w:br w:type="page"/>
      </w:r>
    </w:p>
    <w:p>
      <w:pPr>
        <w:pStyle w:val="Heading1"/>
        <w:spacing w:before="300" w:after="150"/>
      </w:pPr>
      <w:r>
        <w:rPr>
          <w:b/>
          <w:bCs/>
        </w:rPr>
        <w:t xml:space="preserve">2. Analisi dei Requisiti</w:t>
      </w:r>
    </w:p>
    <w:p>
      <w:pPr>
        <w:pStyle w:val="Heading2"/>
        <w:spacing w:before="300" w:after="150"/>
      </w:pPr>
      <w:r>
        <w:rPr>
          <w:b/>
          <w:bCs/>
        </w:rPr>
        <w:t xml:space="preserve">2.1 Riepilogo funzionale</w:t>
      </w:r>
    </w:p>
    <w:p>
      <w:pPr>
        <w:spacing w:after="120"/>
        <w:jc w:val="both"/>
      </w:pPr>
      <w:r>
        <w:rPr>
          <w:rFonts w:ascii="Calibri" w:cs="Calibri" w:eastAsia="Calibri" w:hAnsi="Calibri"/>
          <w:sz w:val="22"/>
          <w:szCs w:val="22"/>
        </w:rPr>
        <w:t xml:space="preserve">Dalla lettura incrociata dei due documenti emergono i seguenti macro-requisiti:</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2800"/>
        <w:gridCol w:w="3293"/>
        <w:gridCol w:w="3293"/>
      </w:tblGrid>
      <w:tr>
        <w:tc>
          <w:tcPr>
            <w:tcW w:type="dxa" w:w="28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Area</w:t>
            </w:r>
          </w:p>
        </w:tc>
        <w:tc>
          <w:tcPr>
            <w:tcW w:type="dxa" w:w="32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Requisito</w:t>
            </w:r>
          </w:p>
        </w:tc>
        <w:tc>
          <w:tcPr>
            <w:tcW w:type="dxa" w:w="32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Note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Accesso</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Codice univoco da attestato partecipazione</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Uso singolo, associato a corso specifico</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Registrazione</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Nome, Cognome, Email, Password, Città, Azienda (opz.)</w:t>
            </w:r>
          </w:p>
        </w:tc>
        <w:tc>
          <w:tcPr>
            <w:tcW w:type="dxa" w:w="329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Consensi GDPR obbligatori</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Test</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15 domande su pool di 30, ordine random</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Soglia 70%, max 3 tentativi</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Attestazione</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PDF automatico con logo, dati, punteggio</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Firma grafica (non digitale qualificata)</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Area Utente</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Storico corsi, tentativi, attestati, consensi</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Revoca consensi possibile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Area Admin</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CRUD corsi, domande, codici, utenti</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Export CSV, reset tentativi</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Sicurezza</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HTTPS, bcrypt, backup giornaliero</w:t>
            </w:r>
          </w:p>
        </w:tc>
        <w:tc>
          <w:tcPr>
            <w:tcW w:type="dxa" w:w="32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Esclusi MFA, firma digitale qualificata</w:t>
            </w:r>
          </w:p>
        </w:tc>
      </w:tr>
    </w:tbl>
    <w:p>
      <w:pPr>
        <w:spacing w:after="200"/>
      </w:pPr>
    </w:p>
    <w:p>
      <w:pPr>
        <w:pStyle w:val="Heading2"/>
        <w:spacing w:before="300" w:after="150"/>
      </w:pPr>
      <w:r>
        <w:rPr>
          <w:b/>
          <w:bCs/>
        </w:rPr>
        <w:t xml:space="preserve">2.2 Gap tra documento strategico e specifiche tecniche</w:t>
      </w:r>
    </w:p>
    <w:p>
      <w:pPr>
        <w:spacing w:after="120"/>
        <w:jc w:val="both"/>
      </w:pPr>
      <w:r>
        <w:rPr>
          <w:rFonts w:ascii="Calibri" w:cs="Calibri" w:eastAsia="Calibri" w:hAnsi="Calibri"/>
          <w:sz w:val="22"/>
          <w:szCs w:val="22"/>
        </w:rPr>
        <w:t xml:space="preserve">Il primo documento (progetto strategico) delinea una visione ambiziosa che va oltre le specifiche tecniche del secondo documento. Esistono gap significativi che vanno chiariti con il cliente prima dello sviluppo:</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3100"/>
        <w:gridCol w:w="3143"/>
        <w:gridCol w:w="3143"/>
      </w:tblGrid>
      <w:tr>
        <w:tc>
          <w:tcPr>
            <w:tcW w:type="dxa" w:w="31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Funzionalità</w:t>
            </w:r>
          </w:p>
        </w:tc>
        <w:tc>
          <w:tcPr>
            <w:tcW w:type="dxa" w:w="31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Doc. Strategico</w:t>
            </w:r>
          </w:p>
        </w:tc>
        <w:tc>
          <w:tcPr>
            <w:tcW w:type="dxa" w:w="31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Doc. Tecnico</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Portale professionisti certificati</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Menzionato come sviluppo futuro</w:t>
            </w:r>
          </w:p>
        </w:tc>
        <w:tc>
          <w:tcPr>
            <w:tcW w:type="dxa" w:w="314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Non presente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Accesso premium aziende</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Previsto</w:t>
            </w:r>
          </w:p>
        </w:tc>
        <w:tc>
          <w:tcPr>
            <w:tcW w:type="dxa" w:w="314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Solo export CSV manuale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Livelli certificazione</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Base/Avanzato/Master</w:t>
            </w:r>
          </w:p>
        </w:tc>
        <w:tc>
          <w:tcPr>
            <w:tcW w:type="dxa" w:w="314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Non implementato</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Sistema crediti formativi</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Previsto a medio termine</w:t>
            </w:r>
          </w:p>
        </w:tc>
        <w:tc>
          <w:tcPr>
            <w:tcW w:type="dxa" w:w="314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Non presente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Ranking professionisti</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Previsto</w:t>
            </w:r>
          </w:p>
        </w:tc>
        <w:tc>
          <w:tcPr>
            <w:tcW w:type="dxa" w:w="314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Non presente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Statistiche apprendimento</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Analytics dettagliate</w:t>
            </w:r>
          </w:p>
        </w:tc>
        <w:tc>
          <w:tcPr>
            <w:tcW w:type="dxa" w:w="314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Non dettagliato</w:t>
            </w:r>
          </w:p>
        </w:tc>
      </w:tr>
    </w:tbl>
    <w:p>
      <w:pPr>
        <w:spacing w:after="200"/>
      </w:pPr>
    </w:p>
    <w:p>
      <w:pPr>
        <w:spacing w:after="120"/>
        <w:jc w:val="both"/>
      </w:pPr>
      <w:r>
        <w:rPr>
          <w:rFonts w:ascii="Calibri" w:cs="Calibri" w:eastAsia="Calibri" w:hAnsi="Calibri"/>
          <w:sz w:val="22"/>
          <w:szCs w:val="22"/>
        </w:rPr>
        <w:t xml:space="preserve">Questo gap è in parte intenzionale (il doc tecnico è una versione semplificata), ma va concordato chiaramente con il cliente cosa rientra nel preventivo della fase 1 e cosa no.</w:t>
      </w:r>
    </w:p>
    <w:p>
      <w:r>
        <w:br w:type="page"/>
      </w:r>
    </w:p>
    <w:p>
      <w:pPr>
        <w:pStyle w:val="Heading1"/>
        <w:spacing w:before="300" w:after="150"/>
      </w:pPr>
      <w:r>
        <w:rPr>
          <w:b/>
          <w:bCs/>
        </w:rPr>
        <w:t xml:space="preserve">3. Criticità Identificate</w:t>
      </w:r>
    </w:p>
    <w:p>
      <w:pPr>
        <w:pStyle w:val="Heading2"/>
        <w:spacing w:before="300" w:after="150"/>
      </w:pPr>
      <w:r>
        <w:rPr>
          <w:b/>
          <w:bCs/>
        </w:rPr>
        <w:t xml:space="preserve">3.1 Criticità alta</w:t>
      </w:r>
    </w:p>
    <w:p>
      <w:pPr>
        <w:spacing w:after="120"/>
        <w:jc w:val="both"/>
      </w:pPr>
      <w:r>
        <w:rPr>
          <w:rFonts w:ascii="Calibri" w:cs="Calibri" w:eastAsia="Calibri" w:hAnsi="Calibri"/>
          <w:b/>
          <w:bCs/>
          <w:sz w:val="22"/>
          <w:szCs w:val="22"/>
        </w:rPr>
        <w:t xml:space="preserve">A) Codici univoci salvati in chiaro: </w:t>
      </w:r>
      <w:r>
        <w:rPr>
          <w:rFonts w:ascii="Calibri" w:cs="Calibri" w:eastAsia="Calibri" w:hAnsi="Calibri"/>
          <w:sz w:val="22"/>
          <w:szCs w:val="22"/>
        </w:rPr>
        <w:t xml:space="preserve">Il documento tecnico afferma esplicitamente che i codici possono essere salvati in chiaro perché sono “random lunghi”. Questo è un rischio: se il database viene compromesso, tutti i codici non utilizzati sono esposti. I codici funzionano di fatto come token di accesso monouso e andrebbero trattati come tali. Suggerimento: hashare i codici (come le password) e conservare solo l’hash. All’utente viene mostrato il codice in chiaro solo sull’attestato cartaceo.</w:t>
      </w:r>
    </w:p>
    <w:p>
      <w:pPr>
        <w:spacing w:after="60"/>
      </w:pPr>
    </w:p>
    <w:p>
      <w:pPr>
        <w:spacing w:after="120"/>
        <w:jc w:val="both"/>
      </w:pPr>
      <w:r>
        <w:rPr>
          <w:rFonts w:ascii="Calibri" w:cs="Calibri" w:eastAsia="Calibri" w:hAnsi="Calibri"/>
          <w:b/>
          <w:bCs/>
          <w:sz w:val="22"/>
          <w:szCs w:val="22"/>
        </w:rPr>
        <w:t xml:space="preserve">B) Anti-cheating assente: </w:t>
      </w:r>
      <w:r>
        <w:rPr>
          <w:rFonts w:ascii="Calibri" w:cs="Calibri" w:eastAsia="Calibri" w:hAnsi="Calibri"/>
          <w:sz w:val="22"/>
          <w:szCs w:val="22"/>
        </w:rPr>
        <w:t xml:space="preserve">Non esiste alcun meccanismo per prevenire che l’utente cerchi le risposte durante il test. Con 15 domande su un pool di sole 30, dopo 2 tentativi l’utente potrebbe conoscere la maggior parte delle domande. Suggerimenti: timer per domanda o per test complessivo, impossibilità di tornare indietro sulle domande già risposte, pool di domande più ampio (almeno 50-60 per corso), eventuale randomizzazione anche del testo delle domande con varianti.</w:t>
      </w:r>
    </w:p>
    <w:p>
      <w:pPr>
        <w:spacing w:after="60"/>
      </w:pPr>
    </w:p>
    <w:p>
      <w:pPr>
        <w:spacing w:after="120"/>
        <w:jc w:val="both"/>
      </w:pPr>
      <w:r>
        <w:rPr>
          <w:rFonts w:ascii="Calibri" w:cs="Calibri" w:eastAsia="Calibri" w:hAnsi="Calibri"/>
          <w:b/>
          <w:bCs/>
          <w:sz w:val="22"/>
          <w:szCs w:val="22"/>
        </w:rPr>
        <w:t xml:space="preserve">C) GDPR – Gestione consensi incompleta: </w:t>
      </w:r>
      <w:r>
        <w:rPr>
          <w:rFonts w:ascii="Calibri" w:cs="Calibri" w:eastAsia="Calibri" w:hAnsi="Calibri"/>
          <w:sz w:val="22"/>
          <w:szCs w:val="22"/>
        </w:rPr>
        <w:t xml:space="preserve">Il documento menziona il consenso per la condivisione dati con aziende, ma mancano diversi aspetti obbligatori per legge: registro dei trattamenti, possibilità di esportazione dati personali (diritto di portabilità), diritto alla cancellazione completa (non solo revoca consenso), informativa privacy completa conforme agli articoli 13/14 GDPR, nomina DPO se necessario. Questi aspetti non sono opzionali e vanno inclusi nel progetto.</w:t>
      </w:r>
    </w:p>
    <w:p>
      <w:pPr>
        <w:pStyle w:val="Heading2"/>
        <w:spacing w:before="300" w:after="150"/>
      </w:pPr>
      <w:r>
        <w:rPr>
          <w:b/>
          <w:bCs/>
        </w:rPr>
        <w:t xml:space="preserve">3.2 Criticità media</w:t>
      </w:r>
    </w:p>
    <w:p>
      <w:pPr>
        <w:spacing w:after="120"/>
        <w:jc w:val="both"/>
      </w:pPr>
      <w:r>
        <w:rPr>
          <w:rFonts w:ascii="Calibri" w:cs="Calibri" w:eastAsia="Calibri" w:hAnsi="Calibri"/>
          <w:b/>
          <w:bCs/>
          <w:sz w:val="22"/>
          <w:szCs w:val="22"/>
        </w:rPr>
        <w:t xml:space="preserve">D) Pool domande troppo ridotto: </w:t>
      </w:r>
      <w:r>
        <w:rPr>
          <w:rFonts w:ascii="Calibri" w:cs="Calibri" w:eastAsia="Calibri" w:hAnsi="Calibri"/>
          <w:sz w:val="22"/>
          <w:szCs w:val="22"/>
        </w:rPr>
        <w:t xml:space="preserve">30 domande per 15 estratte significa che il 50% del pool viene mostrato ad ogni tentativo. Con 3 tentativi, l’utente vede statisticamente quasi tutte le domande. Questo svaluta il valore della certificazione. Consiglio: minimo 50-60 domande per corso, idealmente 80-100 per una certificazione credibile.</w:t>
      </w:r>
    </w:p>
    <w:p>
      <w:pPr>
        <w:spacing w:after="60"/>
      </w:pPr>
    </w:p>
    <w:p>
      <w:pPr>
        <w:spacing w:after="120"/>
        <w:jc w:val="both"/>
      </w:pPr>
      <w:r>
        <w:rPr>
          <w:rFonts w:ascii="Calibri" w:cs="Calibri" w:eastAsia="Calibri" w:hAnsi="Calibri"/>
          <w:b/>
          <w:bCs/>
          <w:sz w:val="22"/>
          <w:szCs w:val="22"/>
        </w:rPr>
        <w:t xml:space="preserve">E) Nessuna scadenza attestazioni: </w:t>
      </w:r>
      <w:r>
        <w:rPr>
          <w:rFonts w:ascii="Calibri" w:cs="Calibri" w:eastAsia="Calibri" w:hAnsi="Calibri"/>
          <w:sz w:val="22"/>
          <w:szCs w:val="22"/>
        </w:rPr>
        <w:t xml:space="preserve">Il documento strategico menziona “rinnovo certificazione” come visione futura, ma l’architettura non lo prevede. Se si vuole implementarlo in seguito, il database deve già prevedere un campo di scadenza e logica di rinnovo.</w:t>
      </w:r>
    </w:p>
    <w:p>
      <w:pPr>
        <w:spacing w:after="60"/>
      </w:pPr>
    </w:p>
    <w:p>
      <w:pPr>
        <w:spacing w:after="120"/>
        <w:jc w:val="both"/>
      </w:pPr>
      <w:r>
        <w:rPr>
          <w:rFonts w:ascii="Calibri" w:cs="Calibri" w:eastAsia="Calibri" w:hAnsi="Calibri"/>
          <w:b/>
          <w:bCs/>
          <w:sz w:val="22"/>
          <w:szCs w:val="22"/>
        </w:rPr>
        <w:t xml:space="preserve">F) Generazione PDF: </w:t>
      </w:r>
      <w:r>
        <w:rPr>
          <w:rFonts w:ascii="Calibri" w:cs="Calibri" w:eastAsia="Calibri" w:hAnsi="Calibri"/>
          <w:sz w:val="22"/>
          <w:szCs w:val="22"/>
        </w:rPr>
        <w:t xml:space="preserve">La qualità grafica del PDF generato programmaticamente rischia di essere inferiore alle aspettative del cliente. Va concordato: se il template è fornito da Inlumia come design grafico, servirà un lavoro accurato di traduzione in codice. Prevedere almeno 2-3 iterazioni di revisione.</w:t>
      </w:r>
    </w:p>
    <w:p>
      <w:pPr>
        <w:spacing w:after="60"/>
      </w:pPr>
    </w:p>
    <w:p>
      <w:pPr>
        <w:spacing w:after="120"/>
        <w:jc w:val="both"/>
      </w:pPr>
      <w:r>
        <w:rPr>
          <w:rFonts w:ascii="Calibri" w:cs="Calibri" w:eastAsia="Calibri" w:hAnsi="Calibri"/>
          <w:b/>
          <w:bCs/>
          <w:sz w:val="22"/>
          <w:szCs w:val="22"/>
        </w:rPr>
        <w:t xml:space="preserve">G) Gestione concorrenza test: </w:t>
      </w:r>
      <w:r>
        <w:rPr>
          <w:rFonts w:ascii="Calibri" w:cs="Calibri" w:eastAsia="Calibri" w:hAnsi="Calibri"/>
          <w:sz w:val="22"/>
          <w:szCs w:val="22"/>
        </w:rPr>
        <w:t xml:space="preserve">Cosa succede se l’utente apre il test su due dispositivi contemporaneamente? O se chiude il browser a metà test? Serve definire: se il test in corso viene salvato (possibilità di ripresa), timeout di sessione, come contare un tentativo abbandonato.</w:t>
      </w:r>
    </w:p>
    <w:p>
      <w:pPr>
        <w:pStyle w:val="Heading2"/>
        <w:spacing w:before="300" w:after="150"/>
      </w:pPr>
      <w:r>
        <w:rPr>
          <w:b/>
          <w:bCs/>
        </w:rPr>
        <w:t xml:space="preserve">3.3 Criticità bassa (ma da chiarire)</w:t>
      </w:r>
    </w:p>
    <w:p>
      <w:pPr>
        <w:spacing w:after="120"/>
        <w:jc w:val="both"/>
      </w:pPr>
      <w:r>
        <w:rPr>
          <w:rFonts w:ascii="Calibri" w:cs="Calibri" w:eastAsia="Calibri" w:hAnsi="Calibri"/>
          <w:b/>
          <w:bCs/>
          <w:sz w:val="22"/>
          <w:szCs w:val="22"/>
        </w:rPr>
        <w:t xml:space="preserve">H) Assenza di notifiche: </w:t>
      </w:r>
      <w:r>
        <w:rPr>
          <w:rFonts w:ascii="Calibri" w:cs="Calibri" w:eastAsia="Calibri" w:hAnsi="Calibri"/>
          <w:sz w:val="22"/>
          <w:szCs w:val="22"/>
        </w:rPr>
        <w:t xml:space="preserve">Non è previsto un sistema di notifiche (email di conferma registrazione, reminder test, notifica superamento). Sono funzionalità attese dagli utenti moderni.</w:t>
      </w:r>
    </w:p>
    <w:p>
      <w:pPr>
        <w:spacing w:after="60"/>
      </w:pPr>
    </w:p>
    <w:p>
      <w:pPr>
        <w:spacing w:after="120"/>
        <w:jc w:val="both"/>
      </w:pPr>
      <w:r>
        <w:rPr>
          <w:rFonts w:ascii="Calibri" w:cs="Calibri" w:eastAsia="Calibri" w:hAnsi="Calibri"/>
          <w:b/>
          <w:bCs/>
          <w:sz w:val="22"/>
          <w:szCs w:val="22"/>
        </w:rPr>
        <w:t xml:space="preserve">I) Manutenzione domande: </w:t>
      </w:r>
      <w:r>
        <w:rPr>
          <w:rFonts w:ascii="Calibri" w:cs="Calibri" w:eastAsia="Calibri" w:hAnsi="Calibri"/>
          <w:sz w:val="22"/>
          <w:szCs w:val="22"/>
        </w:rPr>
        <w:t xml:space="preserve">Chi scrive le 30+ domande per ogni corso? È un effort significativo che ricade su Inlumia. Va chiarito se serve un’interfaccia di inserimento domande particolarmente user-friendly (es. import da Excel, preview del test).</w:t>
      </w:r>
    </w:p>
    <w:p>
      <w:pPr>
        <w:spacing w:after="60"/>
      </w:pPr>
    </w:p>
    <w:p>
      <w:pPr>
        <w:spacing w:after="120"/>
        <w:jc w:val="both"/>
      </w:pPr>
      <w:r>
        <w:rPr>
          <w:rFonts w:ascii="Calibri" w:cs="Calibri" w:eastAsia="Calibri" w:hAnsi="Calibri"/>
          <w:b/>
          <w:bCs/>
          <w:sz w:val="22"/>
          <w:szCs w:val="22"/>
        </w:rPr>
        <w:t xml:space="preserve">J) Multilingua: </w:t>
      </w:r>
      <w:r>
        <w:rPr>
          <w:rFonts w:ascii="Calibri" w:cs="Calibri" w:eastAsia="Calibri" w:hAnsi="Calibri"/>
          <w:sz w:val="22"/>
          <w:szCs w:val="22"/>
        </w:rPr>
        <w:t xml:space="preserve">Il settore carrozzeria potrebbe coinvolgere anche lavoratori stranieri. Va chiarito se servirà supporto multilingua in futuro.</w:t>
      </w:r>
    </w:p>
    <w:p>
      <w:r>
        <w:br w:type="page"/>
      </w:r>
    </w:p>
    <w:p>
      <w:pPr>
        <w:pStyle w:val="Heading1"/>
        <w:spacing w:before="300" w:after="150"/>
      </w:pPr>
      <w:r>
        <w:rPr>
          <w:b/>
          <w:bCs/>
        </w:rPr>
        <w:t xml:space="preserve">4. Proposta Architetturale</w:t>
      </w:r>
    </w:p>
    <w:p>
      <w:pPr>
        <w:pStyle w:val="Heading2"/>
        <w:spacing w:before="300" w:after="150"/>
      </w:pPr>
      <w:r>
        <w:rPr>
          <w:b/>
          <w:bCs/>
        </w:rPr>
        <w:t xml:space="preserve">4.1 Stack tecnologico consigliato</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2200"/>
        <w:gridCol w:w="3593"/>
        <w:gridCol w:w="3593"/>
      </w:tblGrid>
      <w:tr>
        <w:tc>
          <w:tcPr>
            <w:tcW w:type="dxa" w:w="22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Layer</w:t>
            </w:r>
          </w:p>
        </w:tc>
        <w:tc>
          <w:tcPr>
            <w:tcW w:type="dxa" w:w="35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Tecnologia</w:t>
            </w:r>
          </w:p>
        </w:tc>
        <w:tc>
          <w:tcPr>
            <w:tcW w:type="dxa" w:w="35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Motivazione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Frontend</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Next.js (React) + Tailwind CSS</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SSR per SEO landing page, SPA per dashboard. Ampio ecosistema, facile reperibilità sviluppatori</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Backend</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Next.js API Routes oppure Node.js + Express</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Monorepo con frontend. Alternativa: FastAPI (Python) se preferito</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Database</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PostgreSQL</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Relazionale, robusto, gratuito, ottimo per le query complesse di reporting</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ORM</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Prisma</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Type-safe, migrazioni automatiche, ottimo con Next.js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Auth</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NextAuth.js / Auth.js</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Gestione sessioni, bcrypt integrato, estensibile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PDF</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Puppeteer / @react-pdf/renderer</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Puppeteer per PDF da template HTML con pieno controllo grafico; react-pdf come alternativa più leggera</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Hosting</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Vercel + DB su Supabase/Neon (EU)</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Deploy semplificato, scaling automatico, data residency EU per GDPR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Email</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Resend / SendGrid</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Transazionali: conferma registrazione, esito test, reminder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Storage</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S3-compatible (es. Cloudflare R2)</w:t>
            </w:r>
          </w:p>
        </w:tc>
        <w:tc>
          <w:tcPr>
            <w:tcW w:type="dxa" w:w="35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Per PDF generati. Economico, EU-compliant</w:t>
            </w:r>
          </w:p>
        </w:tc>
      </w:tr>
    </w:tbl>
    <w:p>
      <w:pPr>
        <w:spacing w:after="200"/>
      </w:pPr>
    </w:p>
    <w:p>
      <w:pPr>
        <w:pStyle w:val="Heading2"/>
        <w:spacing w:before="300" w:after="150"/>
      </w:pPr>
      <w:r>
        <w:rPr>
          <w:b/>
          <w:bCs/>
        </w:rPr>
        <w:t xml:space="preserve">4.2 Alternativa low-cost / rapid delivery</w:t>
      </w:r>
    </w:p>
    <w:p>
      <w:pPr>
        <w:spacing w:after="120"/>
        <w:jc w:val="both"/>
      </w:pPr>
      <w:r>
        <w:rPr>
          <w:rFonts w:ascii="Calibri" w:cs="Calibri" w:eastAsia="Calibri" w:hAnsi="Calibri"/>
          <w:sz w:val="22"/>
          <w:szCs w:val="22"/>
        </w:rPr>
        <w:t xml:space="preserve">Se il budget del cliente è limitato o i tempi sono stretti, è possibile considerare un approccio più snello:</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3100"/>
        <w:gridCol w:w="3143"/>
        <w:gridCol w:w="3143"/>
      </w:tblGrid>
      <w:tr>
        <w:tc>
          <w:tcPr>
            <w:tcW w:type="dxa" w:w="31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Componente</w:t>
            </w:r>
          </w:p>
        </w:tc>
        <w:tc>
          <w:tcPr>
            <w:tcW w:type="dxa" w:w="31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Opzione Rapid</w:t>
            </w:r>
          </w:p>
        </w:tc>
        <w:tc>
          <w:tcPr>
            <w:tcW w:type="dxa" w:w="31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Trade-off</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Piattaforma</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WordPress + plugin LMS (LearnDash/Tutor LMS)</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Meno personalizzabile, ma operativo in 2-3 settimane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Test/Quiz</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Plugin quiz WP con randomizzazione</w:t>
            </w:r>
          </w:p>
        </w:tc>
        <w:tc>
          <w:tcPr>
            <w:tcW w:type="dxa" w:w="314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Funzionalità limitate su codici univoci</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PDF</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Plugin certificati WP</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Template meno flessibile</w:t>
            </w:r>
          </w:p>
        </w:tc>
      </w:tr>
      <w:tr>
        <w:tc>
          <w:tcPr>
            <w:tcW w:type="dxa" w:w="3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Admin</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Backend WP nativo</w:t>
            </w:r>
          </w:p>
        </w:tc>
        <w:tc>
          <w:tcPr>
            <w:tcW w:type="dxa" w:w="31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Interfaccia meno pulita ma funzionale</w:t>
            </w:r>
          </w:p>
        </w:tc>
      </w:tr>
    </w:tbl>
    <w:p>
      <w:pPr>
        <w:spacing w:after="120"/>
      </w:pPr>
    </w:p>
    <w:p>
      <w:pPr>
        <w:spacing w:after="120"/>
        <w:jc w:val="both"/>
      </w:pPr>
      <w:r>
        <w:rPr>
          <w:rFonts w:ascii="Calibri" w:cs="Calibri" w:eastAsia="Calibri" w:hAnsi="Calibri"/>
          <w:sz w:val="22"/>
          <w:szCs w:val="22"/>
        </w:rPr>
        <w:t xml:space="preserve">Nota: la soluzione WordPress può funzionare per una fase 1, ma diventerebbe limitante per le evoluzioni future (portale aziende, ranking, crediti formativi). La consiglio solo se il budget è molto contenuto (&lt;3.000€).</w:t>
      </w:r>
    </w:p>
    <w:p>
      <w:r>
        <w:br w:type="page"/>
      </w:r>
    </w:p>
    <w:p>
      <w:pPr>
        <w:pStyle w:val="Heading1"/>
        <w:spacing w:before="300" w:after="150"/>
      </w:pPr>
      <w:r>
        <w:rPr>
          <w:b/>
          <w:bCs/>
        </w:rPr>
        <w:t xml:space="preserve">5. Schema Database Proposto</w:t>
      </w:r>
    </w:p>
    <w:p>
      <w:pPr>
        <w:spacing w:after="120"/>
        <w:jc w:val="both"/>
      </w:pPr>
      <w:r>
        <w:rPr>
          <w:rFonts w:ascii="Calibri" w:cs="Calibri" w:eastAsia="Calibri" w:hAnsi="Calibri"/>
          <w:sz w:val="22"/>
          <w:szCs w:val="22"/>
        </w:rPr>
        <w:t xml:space="preserve">Di seguito uno schema relazionale arricchito rispetto a quello minimo indicato dal cliente, per supportare le evoluzioni future:</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2343"/>
        <w:gridCol w:w="2343"/>
      </w:tblGrid>
      <w:tr>
        <w:tc>
          <w:tcPr>
            <w:tcW w:type="dxa" w:w="22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Tabella</w:t>
            </w:r>
          </w:p>
        </w:tc>
        <w:tc>
          <w:tcPr>
            <w:tcW w:type="dxa" w:w="25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Campi chiave</w:t>
            </w:r>
          </w:p>
        </w:tc>
        <w:tc>
          <w:tcPr>
            <w:tcW w:type="dxa" w:w="23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Relazioni</w:t>
            </w:r>
          </w:p>
        </w:tc>
        <w:tc>
          <w:tcPr>
            <w:tcW w:type="dxa" w:w="234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Note aggiuntive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users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email, password_hash, nome, cognome, città, azienda, created_at</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w:t>
            </w:r>
          </w:p>
        </w:tc>
        <w:tc>
          <w:tcPr>
            <w:tcW w:type="dxa" w:w="234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Aggiungere campo per soft-delete (GDPR)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courses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nome, descrizione, pass_threshold, max_attempts, question_pool_size, is_active</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w:t>
            </w:r>
          </w:p>
        </w:tc>
        <w:tc>
          <w:tcPr>
            <w:tcW w:type="dxa" w:w="234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Aggiungere validity_months per scadenza</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questions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course_id, text, options (JSONB), correct_option, is_active</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courses</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JSONB per flessibilità nel numero opzioni</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access_codes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code_hash, course_id, used_by, used_at, batch_id, created_at</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courses, users</w:t>
            </w:r>
          </w:p>
        </w:tc>
        <w:tc>
          <w:tcPr>
            <w:tcW w:type="dxa" w:w="234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Codice hashato, non in chiaro</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exam_attempts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user_id, course_id, score, passed, started_at, completed_at, answers (JSONB)</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users, courses</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Salvare le risposte per analytics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certificates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user_id, course_id, attempt_id, cert_code, pdf_url, issued_at, expires_at</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users, courses, exam_attempts</w:t>
            </w:r>
          </w:p>
        </w:tc>
        <w:tc>
          <w:tcPr>
            <w:tcW w:type="dxa" w:w="234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expires_at per future scadenze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consents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user_id, consent_type, granted, granted_at, revoked_at, ip_address</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users</w:t>
            </w:r>
          </w:p>
        </w:tc>
        <w:tc>
          <w:tcPr>
            <w:tcW w:type="dxa" w:w="234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Storico completo per GDPR audit</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code_batches</w:t>
            </w:r>
          </w:p>
        </w:tc>
        <w:tc>
          <w:tcPr>
            <w:tcW w:type="dxa" w:w="2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id, course_id, quantity, generated_at, generated_by</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courses</w:t>
            </w:r>
          </w:p>
        </w:tc>
        <w:tc>
          <w:tcPr>
            <w:tcW w:type="dxa" w:w="234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Tracciamento generazioni batch</w:t>
            </w:r>
          </w:p>
        </w:tc>
      </w:tr>
    </w:tbl>
    <w:p>
      <w:pPr>
        <w:spacing w:after="200"/>
      </w:pPr>
    </w:p>
    <w:p>
      <w:pPr>
        <w:pStyle w:val="Heading1"/>
        <w:spacing w:before="300" w:after="150"/>
      </w:pPr>
      <w:r>
        <w:rPr>
          <w:b/>
          <w:bCs/>
        </w:rPr>
        <w:t xml:space="preserve">6. Piano di Sviluppo e Stima Effort</w:t>
      </w:r>
    </w:p>
    <w:p>
      <w:pPr>
        <w:pStyle w:val="Heading2"/>
        <w:spacing w:before="300" w:after="150"/>
      </w:pPr>
      <w:r>
        <w:rPr>
          <w:b/>
          <w:bCs/>
        </w:rPr>
        <w:t xml:space="preserve">6.1 Suddivisione in fasi</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000"/>
        <w:gridCol w:w="1993"/>
        <w:gridCol w:w="1993"/>
      </w:tblGrid>
      <w:tr>
        <w:tc>
          <w:tcPr>
            <w:tcW w:type="dxa" w:w="6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Fase</w:t>
            </w:r>
          </w:p>
        </w:tc>
        <w:tc>
          <w:tcPr>
            <w:tcW w:type="dxa" w:w="28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Deliverable</w:t>
            </w:r>
          </w:p>
        </w:tc>
        <w:tc>
          <w:tcPr>
            <w:tcW w:type="dxa" w:w="2000"/>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Effort (gg)</w:t>
            </w:r>
          </w:p>
        </w:tc>
        <w:tc>
          <w:tcPr>
            <w:tcW w:type="dxa" w:w="19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Dipendenze</w:t>
            </w:r>
          </w:p>
        </w:tc>
        <w:tc>
          <w:tcPr>
            <w:tcW w:type="dxa" w:w="19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Priorità</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1</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Setup progetto, DB, auth, modello dati</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4-5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w:t>
            </w:r>
          </w:p>
        </w:tc>
        <w:tc>
          <w:tcPr>
            <w:tcW w:type="dxa" w:w="19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Bloccante</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2</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Area admin: CRUD corsi, domande, codici batch</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5-7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1</w:t>
            </w:r>
          </w:p>
        </w:tc>
        <w:tc>
          <w:tcPr>
            <w:tcW w:type="dxa" w:w="19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Bloccante</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3</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Flusso utente: validazione codice, registrazione, login</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4-5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1</w:t>
            </w:r>
          </w:p>
        </w:tc>
        <w:tc>
          <w:tcPr>
            <w:tcW w:type="dxa" w:w="19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Bloccante</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4</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Engine test: randomizzazione, timer, calcolo score, salvataggio</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5-7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2, 3</w:t>
            </w:r>
          </w:p>
        </w:tc>
        <w:tc>
          <w:tcPr>
            <w:tcW w:type="dxa" w:w="19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Bloccante</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5</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Generazione PDF attestazione + storage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3-5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4</w:t>
            </w:r>
          </w:p>
        </w:tc>
        <w:tc>
          <w:tcPr>
            <w:tcW w:type="dxa" w:w="199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Alta</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6</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Dashboard utente: storico, download, consensi</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3-4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3</w:t>
            </w:r>
          </w:p>
        </w:tc>
        <w:tc>
          <w:tcPr>
            <w:tcW w:type="dxa" w:w="199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Alta</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7</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Dashboard admin: statistiche, export CSV, gestione utenti</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4-5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2</w:t>
            </w:r>
          </w:p>
        </w:tc>
        <w:tc>
          <w:tcPr>
            <w:tcW w:type="dxa" w:w="19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Media</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8</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Email transazionali, notifiche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2-3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Fase 3</w:t>
            </w:r>
          </w:p>
        </w:tc>
        <w:tc>
          <w:tcPr>
            <w:tcW w:type="dxa" w:w="19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Media</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9</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Landing page pubblica + responsive design</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2-3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w:t>
            </w:r>
          </w:p>
        </w:tc>
        <w:tc>
          <w:tcPr>
            <w:tcW w:type="dxa" w:w="19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Media</w:t>
            </w:r>
          </w:p>
        </w:tc>
      </w:tr>
      <w:tr>
        <w:tc>
          <w:tcPr>
            <w:tcW w:type="dxa" w:w="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10</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Testing, bug fix, deploy, documentazione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5-7 giorni</w:t>
            </w:r>
          </w:p>
        </w:tc>
        <w:tc>
          <w:tcPr>
            <w:tcW w:type="dxa" w:w="19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Tutte</w:t>
            </w:r>
          </w:p>
        </w:tc>
        <w:tc>
          <w:tcPr>
            <w:tcW w:type="dxa" w:w="19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Bloccante</w:t>
            </w:r>
          </w:p>
        </w:tc>
      </w:tr>
    </w:tbl>
    <w:p>
      <w:pPr>
        <w:spacing w:after="200"/>
      </w:pPr>
    </w:p>
    <w:p>
      <w:pPr>
        <w:spacing w:after="120"/>
        <w:jc w:val="both"/>
      </w:pPr>
      <w:r>
        <w:rPr>
          <w:rFonts w:ascii="Calibri" w:cs="Calibri" w:eastAsia="Calibri" w:hAnsi="Calibri"/>
          <w:b/>
          <w:bCs/>
          <w:sz w:val="22"/>
          <w:szCs w:val="22"/>
        </w:rPr>
        <w:t xml:space="preserve">Effort totale stimato: </w:t>
      </w:r>
      <w:r>
        <w:rPr>
          <w:rFonts w:ascii="Calibri" w:cs="Calibri" w:eastAsia="Calibri" w:hAnsi="Calibri"/>
          <w:sz w:val="22"/>
          <w:szCs w:val="22"/>
        </w:rPr>
        <w:t xml:space="preserve">37-51 giorni lavorativi (uno sviluppatore full-stack senior).</w:t>
      </w:r>
    </w:p>
    <w:p>
      <w:pPr>
        <w:spacing w:after="120"/>
        <w:jc w:val="both"/>
      </w:pPr>
      <w:r>
        <w:rPr>
          <w:rFonts w:ascii="Calibri" w:cs="Calibri" w:eastAsia="Calibri" w:hAnsi="Calibri"/>
          <w:b/>
          <w:bCs/>
          <w:sz w:val="22"/>
          <w:szCs w:val="22"/>
        </w:rPr>
        <w:t xml:space="preserve">Timeline realistica: </w:t>
      </w:r>
      <w:r>
        <w:rPr>
          <w:rFonts w:ascii="Calibri" w:cs="Calibri" w:eastAsia="Calibri" w:hAnsi="Calibri"/>
          <w:sz w:val="22"/>
          <w:szCs w:val="22"/>
        </w:rPr>
        <w:t xml:space="preserve">8-12 settimane considerando feedback, revisioni e iterazioni col cliente.</w:t>
      </w:r>
    </w:p>
    <w:p>
      <w:pPr>
        <w:pStyle w:val="Heading2"/>
        <w:spacing w:before="300" w:after="150"/>
      </w:pPr>
      <w:r>
        <w:rPr>
          <w:b/>
          <w:bCs/>
        </w:rPr>
        <w:t xml:space="preserve">6.2 Stima costi indicativa</w:t>
      </w:r>
    </w:p>
    <w:p>
      <w:pPr>
        <w:spacing w:after="120"/>
        <w:jc w:val="both"/>
      </w:pPr>
      <w:r>
        <w:rPr>
          <w:rFonts w:ascii="Calibri" w:cs="Calibri" w:eastAsia="Calibri" w:hAnsi="Calibri"/>
          <w:sz w:val="22"/>
          <w:szCs w:val="22"/>
        </w:rPr>
        <w:t xml:space="preserve">Le stime variano in base alla seniority dello sviluppatore e alla località. Indicativamente per il mercato italiano:</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3128"/>
        <w:gridCol w:w="3129"/>
        <w:gridCol w:w="3129"/>
      </w:tblGrid>
      <w:tr>
        <w:tc>
          <w:tcPr>
            <w:tcW w:type="dxa" w:w="3128"/>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Scenario</w:t>
            </w:r>
          </w:p>
        </w:tc>
        <w:tc>
          <w:tcPr>
            <w:tcW w:type="dxa" w:w="3129"/>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Tariffa giornaliera</w:t>
            </w:r>
          </w:p>
        </w:tc>
        <w:tc>
          <w:tcPr>
            <w:tcW w:type="dxa" w:w="3129"/>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Range totale</w:t>
            </w:r>
          </w:p>
        </w:tc>
      </w:tr>
      <w:tr>
        <w:tc>
          <w:tcPr>
            <w:tcW w:type="dxa" w:w="3128"/>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Freelancer junior/mid</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200-300€/gg</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7.400 - 15.300€</w:t>
            </w:r>
          </w:p>
        </w:tc>
      </w:tr>
      <w:tr>
        <w:tc>
          <w:tcPr>
            <w:tcW w:type="dxa" w:w="3128"/>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Freelancer senior</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300-450€/gg</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11.100 - 22.950€</w:t>
            </w:r>
          </w:p>
        </w:tc>
      </w:tr>
      <w:tr>
        <w:tc>
          <w:tcPr>
            <w:tcW w:type="dxa" w:w="3128"/>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Agenzia/software house</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400-600€/gg</w:t>
            </w:r>
          </w:p>
        </w:tc>
        <w:tc>
          <w:tcPr>
            <w:tcW w:type="dxa" w:w="3129"/>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14.800 - 30.600€</w:t>
            </w:r>
          </w:p>
        </w:tc>
      </w:tr>
    </w:tbl>
    <w:p>
      <w:pPr>
        <w:spacing w:after="120"/>
      </w:pPr>
    </w:p>
    <w:p>
      <w:pPr>
        <w:spacing w:after="120"/>
        <w:jc w:val="both"/>
      </w:pPr>
      <w:r>
        <w:rPr>
          <w:rFonts w:ascii="Calibri" w:cs="Calibri" w:eastAsia="Calibri" w:hAnsi="Calibri"/>
          <w:sz w:val="22"/>
          <w:szCs w:val="22"/>
        </w:rPr>
        <w:t xml:space="preserve">A questi vanno aggiunti costi ricorrenti: hosting (50-150€/mese), dominio e SSL (50-100€/anno), servizio email transazionali (20-50€/mese), storage PDF (trascurabile inizialmente), manutenzione e aggiornamenti (10-15% del costo iniziale/anno).</w:t>
      </w:r>
    </w:p>
    <w:p>
      <w:r>
        <w:br w:type="page"/>
      </w:r>
    </w:p>
    <w:p>
      <w:pPr>
        <w:pStyle w:val="Heading1"/>
        <w:spacing w:before="300" w:after="150"/>
      </w:pPr>
      <w:r>
        <w:rPr>
          <w:b/>
          <w:bCs/>
        </w:rPr>
        <w:t xml:space="preserve">7. Suggerimenti e Proposte Aggiuntive</w:t>
      </w:r>
    </w:p>
    <w:p>
      <w:pPr>
        <w:pStyle w:val="Heading2"/>
        <w:spacing w:before="300" w:after="150"/>
      </w:pPr>
      <w:r>
        <w:rPr>
          <w:b/>
          <w:bCs/>
        </w:rPr>
        <w:t xml:space="preserve">7.1 Quick wins da includere nel preventivo</w:t>
      </w:r>
    </w:p>
    <w:p>
      <w:pPr>
        <w:spacing w:after="120"/>
        <w:jc w:val="both"/>
      </w:pPr>
      <w:r>
        <w:rPr>
          <w:rFonts w:ascii="Calibri" w:cs="Calibri" w:eastAsia="Calibri" w:hAnsi="Calibri"/>
          <w:b/>
          <w:bCs/>
          <w:sz w:val="22"/>
          <w:szCs w:val="22"/>
        </w:rPr>
        <w:t xml:space="preserve">Verifica pubblica attestato: </w:t>
      </w:r>
      <w:r>
        <w:rPr>
          <w:rFonts w:ascii="Calibri" w:cs="Calibri" w:eastAsia="Calibri" w:hAnsi="Calibri"/>
          <w:sz w:val="22"/>
          <w:szCs w:val="22"/>
        </w:rPr>
        <w:t xml:space="preserve">Una pagina pubblica dove chiunque (es. un datore di lavoro) possa inserire il codice dell’attestazione e verificarne l’autenticità. Costo aggiuntivo minimo (1 giorno), valore percepito altissimo. Aggiunge credibilità enorme alla certificazione.</w:t>
      </w:r>
    </w:p>
    <w:p>
      <w:pPr>
        <w:spacing w:after="60"/>
      </w:pPr>
    </w:p>
    <w:p>
      <w:pPr>
        <w:spacing w:after="120"/>
        <w:jc w:val="both"/>
      </w:pPr>
      <w:r>
        <w:rPr>
          <w:rFonts w:ascii="Calibri" w:cs="Calibri" w:eastAsia="Calibri" w:hAnsi="Calibri"/>
          <w:b/>
          <w:bCs/>
          <w:sz w:val="22"/>
          <w:szCs w:val="22"/>
        </w:rPr>
        <w:t xml:space="preserve">QR Code sull’attestato PDF: </w:t>
      </w:r>
      <w:r>
        <w:rPr>
          <w:rFonts w:ascii="Calibri" w:cs="Calibri" w:eastAsia="Calibri" w:hAnsi="Calibri"/>
          <w:sz w:val="22"/>
          <w:szCs w:val="22"/>
        </w:rPr>
        <w:t xml:space="preserve">Il PDF generato può contenere un QR code che porta direttamente alla pagina di verifica. L’attestato diventa auto-verificabile. Complementare al punto precedente.</w:t>
      </w:r>
    </w:p>
    <w:p>
      <w:pPr>
        <w:spacing w:after="60"/>
      </w:pPr>
    </w:p>
    <w:p>
      <w:pPr>
        <w:spacing w:after="120"/>
        <w:jc w:val="both"/>
      </w:pPr>
      <w:r>
        <w:rPr>
          <w:rFonts w:ascii="Calibri" w:cs="Calibri" w:eastAsia="Calibri" w:hAnsi="Calibri"/>
          <w:b/>
          <w:bCs/>
          <w:sz w:val="22"/>
          <w:szCs w:val="22"/>
        </w:rPr>
        <w:t xml:space="preserve">Dashboard analytics admin: </w:t>
      </w:r>
      <w:r>
        <w:rPr>
          <w:rFonts w:ascii="Calibri" w:cs="Calibri" w:eastAsia="Calibri" w:hAnsi="Calibri"/>
          <w:sz w:val="22"/>
          <w:szCs w:val="22"/>
        </w:rPr>
        <w:t xml:space="preserve">Statistiche base ma d’impatto: tasso di superamento per corso, domande più sbagliate (per migliorare i corsi), distribuzione punteggi, numero certificazioni emesse nel tempo. Queste informazioni hanno valore strategico enorme per Inlumia.</w:t>
      </w:r>
    </w:p>
    <w:p>
      <w:pPr>
        <w:spacing w:after="60"/>
      </w:pPr>
    </w:p>
    <w:p>
      <w:pPr>
        <w:spacing w:after="120"/>
        <w:jc w:val="both"/>
      </w:pPr>
      <w:r>
        <w:rPr>
          <w:rFonts w:ascii="Calibri" w:cs="Calibri" w:eastAsia="Calibri" w:hAnsi="Calibri"/>
          <w:b/>
          <w:bCs/>
          <w:sz w:val="22"/>
          <w:szCs w:val="22"/>
        </w:rPr>
        <w:t xml:space="preserve">Email automatiche: </w:t>
      </w:r>
      <w:r>
        <w:rPr>
          <w:rFonts w:ascii="Calibri" w:cs="Calibri" w:eastAsia="Calibri" w:hAnsi="Calibri"/>
          <w:sz w:val="22"/>
          <w:szCs w:val="22"/>
        </w:rPr>
        <w:t xml:space="preserve">Conferma registrazione, reminder “hai un test da completare”, notifica superamento con PDF allegato, reminder scadenza attestazione (se implementata). Costo basso, esperienza utente molto migliore.</w:t>
      </w:r>
    </w:p>
    <w:p>
      <w:pPr>
        <w:pStyle w:val="Heading2"/>
        <w:spacing w:before="300" w:after="150"/>
      </w:pPr>
      <w:r>
        <w:rPr>
          <w:b/>
          <w:bCs/>
        </w:rPr>
        <w:t xml:space="preserve">7.2 Evoluzioni future (fase 2 – fuori preventivo)</w:t>
      </w:r>
    </w:p>
    <w:p>
      <w:pPr>
        <w:spacing w:after="120"/>
        <w:jc w:val="both"/>
      </w:pPr>
      <w:r>
        <w:rPr>
          <w:rFonts w:ascii="Calibri" w:cs="Calibri" w:eastAsia="Calibri" w:hAnsi="Calibri"/>
          <w:b/>
          <w:bCs/>
          <w:sz w:val="22"/>
          <w:szCs w:val="22"/>
        </w:rPr>
        <w:t xml:space="preserve">Portale aziende: </w:t>
      </w:r>
      <w:r>
        <w:rPr>
          <w:rFonts w:ascii="Calibri" w:cs="Calibri" w:eastAsia="Calibri" w:hAnsi="Calibri"/>
          <w:sz w:val="22"/>
          <w:szCs w:val="22"/>
        </w:rPr>
        <w:t xml:space="preserve">Area dedicata dove aziende registrate possono cercare professionisti certificati per competenza e territorio. Modello freemium: ricerca base gratuita, contatto diretto a pagamento. Questo è il vero potenziale di monetizzazione futura.</w:t>
      </w:r>
    </w:p>
    <w:p>
      <w:pPr>
        <w:spacing w:after="60"/>
      </w:pPr>
    </w:p>
    <w:p>
      <w:pPr>
        <w:spacing w:after="120"/>
        <w:jc w:val="both"/>
      </w:pPr>
      <w:r>
        <w:rPr>
          <w:rFonts w:ascii="Calibri" w:cs="Calibri" w:eastAsia="Calibri" w:hAnsi="Calibri"/>
          <w:b/>
          <w:bCs/>
          <w:sz w:val="22"/>
          <w:szCs w:val="22"/>
        </w:rPr>
        <w:t xml:space="preserve">Livelli di certificazione: </w:t>
      </w:r>
      <w:r>
        <w:rPr>
          <w:rFonts w:ascii="Calibri" w:cs="Calibri" w:eastAsia="Calibri" w:hAnsi="Calibri"/>
          <w:sz w:val="22"/>
          <w:szCs w:val="22"/>
        </w:rPr>
        <w:t xml:space="preserve">Implementazione del sistema Base/Avanzato/Master menzionato nel documento strategico. Richiede la definizione di percorsi formativi strutturati e propedeuticità tra corsi.</w:t>
      </w:r>
    </w:p>
    <w:p>
      <w:pPr>
        <w:spacing w:after="60"/>
      </w:pPr>
    </w:p>
    <w:p>
      <w:pPr>
        <w:spacing w:after="120"/>
        <w:jc w:val="both"/>
      </w:pPr>
      <w:r>
        <w:rPr>
          <w:rFonts w:ascii="Calibri" w:cs="Calibri" w:eastAsia="Calibri" w:hAnsi="Calibri"/>
          <w:b/>
          <w:bCs/>
          <w:sz w:val="22"/>
          <w:szCs w:val="22"/>
        </w:rPr>
        <w:t xml:space="preserve">App mobile nativa: </w:t>
      </w:r>
      <w:r>
        <w:rPr>
          <w:rFonts w:ascii="Calibri" w:cs="Calibri" w:eastAsia="Calibri" w:hAnsi="Calibri"/>
          <w:sz w:val="22"/>
          <w:szCs w:val="22"/>
        </w:rPr>
        <w:t xml:space="preserve">Per il test potrebbe non servire (la web app responsive basta), ma per un’esperienza premium e notifiche push potrebbe essere utile in futuro.</w:t>
      </w:r>
    </w:p>
    <w:p>
      <w:pPr>
        <w:spacing w:after="60"/>
      </w:pPr>
    </w:p>
    <w:p>
      <w:pPr>
        <w:spacing w:after="120"/>
        <w:jc w:val="both"/>
      </w:pPr>
      <w:r>
        <w:rPr>
          <w:rFonts w:ascii="Calibri" w:cs="Calibri" w:eastAsia="Calibri" w:hAnsi="Calibri"/>
          <w:b/>
          <w:bCs/>
          <w:sz w:val="22"/>
          <w:szCs w:val="22"/>
        </w:rPr>
        <w:t xml:space="preserve">Integrazione API esterna: </w:t>
      </w:r>
      <w:r>
        <w:rPr>
          <w:rFonts w:ascii="Calibri" w:cs="Calibri" w:eastAsia="Calibri" w:hAnsi="Calibri"/>
          <w:sz w:val="22"/>
          <w:szCs w:val="22"/>
        </w:rPr>
        <w:t xml:space="preserve">Possibilità di esporre un’API per verificare le certificazioni programmaticamente (utile per integrazioni con portali lavoro o partnership).</w:t>
      </w:r>
    </w:p>
    <w:p>
      <w:pPr>
        <w:pStyle w:val="Heading2"/>
        <w:spacing w:before="300" w:after="150"/>
      </w:pPr>
      <w:r>
        <w:rPr>
          <w:b/>
          <w:bCs/>
        </w:rPr>
        <w:t xml:space="preserve">7.3 Aspetti legali da chiarire col cliente</w:t>
      </w:r>
    </w:p>
    <w:p>
      <w:pPr>
        <w:spacing w:after="120"/>
        <w:jc w:val="both"/>
      </w:pPr>
      <w:r>
        <w:rPr>
          <w:rFonts w:ascii="Calibri" w:cs="Calibri" w:eastAsia="Calibri" w:hAnsi="Calibri"/>
          <w:sz w:val="22"/>
          <w:szCs w:val="22"/>
        </w:rPr>
        <w:t xml:space="preserve">Prima di procedere, è fondamentale che il cliente chiarisca con un legale i seguenti aspetti: il termine “certificazione” ha implicazioni legali precise in Italia. Se Inlumia non è un ente accreditato dalla Regione o da organismi riconosciuti, è più corretto usare “attestazione di competenza” (come già fatto nei documenti) e non “certificazione” nella comunicazione pubblica. Questo va sottolineato al cliente per evitare problemi legali.</w:t>
      </w:r>
    </w:p>
    <w:p>
      <w:pPr>
        <w:spacing w:after="120"/>
        <w:jc w:val="both"/>
      </w:pPr>
      <w:r>
        <w:rPr>
          <w:rFonts w:ascii="Calibri" w:cs="Calibri" w:eastAsia="Calibri" w:hAnsi="Calibri"/>
          <w:sz w:val="22"/>
          <w:szCs w:val="22"/>
        </w:rPr>
        <w:t xml:space="preserve">Inoltre, la condivisione dati con aziende richiede una base giuridica solida nel GDPR (consenso esplicito, informativa dettagliata, possibilità di revoca). Consiglio di far redigere le informative da un legale specializzato, non di generarle internamente.</w:t>
      </w:r>
    </w:p>
    <w:p>
      <w:r>
        <w:br w:type="page"/>
      </w:r>
    </w:p>
    <w:p>
      <w:pPr>
        <w:pStyle w:val="Heading1"/>
        <w:spacing w:before="300" w:after="150"/>
      </w:pPr>
      <w:r>
        <w:rPr>
          <w:b/>
          <w:bCs/>
        </w:rPr>
        <w:t xml:space="preserve">8. Valutazione Complessiva e Conclusioni</w:t>
      </w:r>
    </w:p>
    <w:p>
      <w:pPr>
        <w:pStyle w:val="Heading2"/>
        <w:spacing w:before="300" w:after="150"/>
      </w:pPr>
      <w:r>
        <w:rPr>
          <w:b/>
          <w:bCs/>
        </w:rPr>
        <w:t xml:space="preserve">8.1 Fattibilità</w:t>
      </w:r>
    </w:p>
    <w:p>
      <w:pPr>
        <w:spacing w:after="120"/>
        <w:jc w:val="both"/>
      </w:pPr>
      <w:r>
        <w:rPr>
          <w:rFonts w:ascii="Calibri" w:cs="Calibri" w:eastAsia="Calibri" w:hAnsi="Calibri"/>
          <w:sz w:val="22"/>
          <w:szCs w:val="22"/>
        </w:rPr>
        <w:t xml:space="preserve">Il progetto è assolutamente fattibile. Si tratta di una web application CRUD con un engine di quiz e generazione PDF: nessuna componente tecnologica particolarmente complessa o rischiosa. Le sfide principali sono più di design e UX (rendere il sistema fluido e professionale) che tecniche.</w:t>
      </w:r>
    </w:p>
    <w:p>
      <w:pPr>
        <w:pStyle w:val="Heading2"/>
        <w:spacing w:before="300" w:after="150"/>
      </w:pPr>
      <w:r>
        <w:rPr>
          <w:b/>
          <w:bCs/>
        </w:rPr>
        <w:t xml:space="preserve">8.2 Raccomandazioni chiave</w:t>
      </w:r>
    </w:p>
    <w:p>
      <w:pPr>
        <w:pStyle w:val="ListParagraph"/>
        <w:numPr>
          <w:ilvl w:val="0"/>
          <w:numId w:val="2"/>
        </w:numPr>
        <w:spacing w:after="80"/>
      </w:pPr>
      <w:r>
        <w:rPr>
          <w:rFonts w:ascii="Calibri" w:cs="Calibri" w:eastAsia="Calibri" w:hAnsi="Calibri"/>
          <w:b/>
          <w:bCs/>
          <w:sz w:val="22"/>
          <w:szCs w:val="22"/>
        </w:rPr>
        <w:t xml:space="preserve">Definire chiaramente il perimetro della fase 1 </w:t>
      </w:r>
      <w:r>
        <w:rPr>
          <w:rFonts w:ascii="Calibri" w:cs="Calibri" w:eastAsia="Calibri" w:hAnsi="Calibri"/>
          <w:sz w:val="22"/>
          <w:szCs w:val="22"/>
        </w:rPr>
        <w:t xml:space="preserve">prima di quotare. Separare nettamente ciò che è nel preventivo da ciò che è “evoluzione futura”.</w:t>
      </w:r>
    </w:p>
    <w:p>
      <w:pPr>
        <w:pStyle w:val="ListParagraph"/>
        <w:numPr>
          <w:ilvl w:val="0"/>
          <w:numId w:val="2"/>
        </w:numPr>
        <w:spacing w:after="80"/>
      </w:pPr>
      <w:r>
        <w:rPr>
          <w:rFonts w:ascii="Calibri" w:cs="Calibri" w:eastAsia="Calibri" w:hAnsi="Calibri"/>
          <w:b/>
          <w:bCs/>
          <w:sz w:val="22"/>
          <w:szCs w:val="22"/>
        </w:rPr>
        <w:t xml:space="preserve">Includere le quick wins </w:t>
      </w:r>
      <w:r>
        <w:rPr>
          <w:rFonts w:ascii="Calibri" w:cs="Calibri" w:eastAsia="Calibri" w:hAnsi="Calibri"/>
          <w:sz w:val="22"/>
          <w:szCs w:val="22"/>
        </w:rPr>
        <w:t xml:space="preserve">(verifica pubblica, QR code, email) che costano poco ma aumentano enormemente il valore percepito.</w:t>
      </w:r>
    </w:p>
    <w:p>
      <w:pPr>
        <w:pStyle w:val="ListParagraph"/>
        <w:numPr>
          <w:ilvl w:val="0"/>
          <w:numId w:val="2"/>
        </w:numPr>
        <w:spacing w:after="80"/>
      </w:pPr>
      <w:r>
        <w:rPr>
          <w:rFonts w:ascii="Calibri" w:cs="Calibri" w:eastAsia="Calibri" w:hAnsi="Calibri"/>
          <w:b/>
          <w:bCs/>
          <w:sz w:val="22"/>
          <w:szCs w:val="22"/>
        </w:rPr>
        <w:t xml:space="preserve">Progettare il database pensando al futuro</w:t>
      </w:r>
      <w:r>
        <w:rPr>
          <w:rFonts w:ascii="Calibri" w:cs="Calibri" w:eastAsia="Calibri" w:hAnsi="Calibri"/>
          <w:sz w:val="22"/>
          <w:szCs w:val="22"/>
        </w:rPr>
        <w:t xml:space="preserve">: includere già campi per scadenze, livelli, e analytics anche se non usati subito.</w:t>
      </w:r>
    </w:p>
    <w:p>
      <w:pPr>
        <w:pStyle w:val="ListParagraph"/>
        <w:numPr>
          <w:ilvl w:val="0"/>
          <w:numId w:val="2"/>
        </w:numPr>
        <w:spacing w:after="80"/>
      </w:pPr>
      <w:r>
        <w:rPr>
          <w:rFonts w:ascii="Calibri" w:cs="Calibri" w:eastAsia="Calibri" w:hAnsi="Calibri"/>
          <w:b/>
          <w:bCs/>
          <w:sz w:val="22"/>
          <w:szCs w:val="22"/>
        </w:rPr>
        <w:t xml:space="preserve">Risolvere le criticità GDPR </w:t>
      </w:r>
      <w:r>
        <w:rPr>
          <w:rFonts w:ascii="Calibri" w:cs="Calibri" w:eastAsia="Calibri" w:hAnsi="Calibri"/>
          <w:sz w:val="22"/>
          <w:szCs w:val="22"/>
        </w:rPr>
        <w:t xml:space="preserve">prima di andare in produzione. Non è opzionale.</w:t>
      </w:r>
    </w:p>
    <w:p>
      <w:pPr>
        <w:pStyle w:val="ListParagraph"/>
        <w:numPr>
          <w:ilvl w:val="0"/>
          <w:numId w:val="2"/>
        </w:numPr>
        <w:spacing w:after="80"/>
      </w:pPr>
      <w:r>
        <w:rPr>
          <w:rFonts w:ascii="Calibri" w:cs="Calibri" w:eastAsia="Calibri" w:hAnsi="Calibri"/>
          <w:b/>
          <w:bCs/>
          <w:sz w:val="22"/>
          <w:szCs w:val="22"/>
        </w:rPr>
        <w:t xml:space="preserve">Implementare misure anti-cheating base</w:t>
      </w:r>
      <w:r>
        <w:rPr>
          <w:rFonts w:ascii="Calibri" w:cs="Calibri" w:eastAsia="Calibri" w:hAnsi="Calibri"/>
          <w:sz w:val="22"/>
          <w:szCs w:val="22"/>
        </w:rPr>
        <w:t xml:space="preserve">: almeno un timer e un pool domande adeguato. Senza, la certificazione perde credibilità.</w:t>
      </w:r>
    </w:p>
    <w:p>
      <w:pPr>
        <w:pStyle w:val="ListParagraph"/>
        <w:numPr>
          <w:ilvl w:val="0"/>
          <w:numId w:val="2"/>
        </w:numPr>
        <w:spacing w:after="80"/>
      </w:pPr>
      <w:r>
        <w:rPr>
          <w:rFonts w:ascii="Calibri" w:cs="Calibri" w:eastAsia="Calibri" w:hAnsi="Calibri"/>
          <w:b/>
          <w:bCs/>
          <w:sz w:val="22"/>
          <w:szCs w:val="22"/>
        </w:rPr>
        <w:t xml:space="preserve">Chiarire la terminologia legale </w:t>
      </w:r>
      <w:r>
        <w:rPr>
          <w:rFonts w:ascii="Calibri" w:cs="Calibri" w:eastAsia="Calibri" w:hAnsi="Calibri"/>
          <w:sz w:val="22"/>
          <w:szCs w:val="22"/>
        </w:rPr>
        <w:t xml:space="preserve">con il cliente (“attestazione” vs “certificazione”).</w:t>
      </w:r>
    </w:p>
    <w:p>
      <w:pPr>
        <w:spacing w:after="200"/>
      </w:pPr>
    </w:p>
    <w:p>
      <w:pPr>
        <w:pStyle w:val="Heading2"/>
        <w:spacing w:before="300" w:after="150"/>
      </w:pPr>
      <w:r>
        <w:rPr>
          <w:b/>
          <w:bCs/>
        </w:rPr>
        <w:t xml:space="preserve">8.3 Giudizio sintetico</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4693"/>
        <w:gridCol w:w="4693"/>
      </w:tblGrid>
      <w:tr>
        <w:tc>
          <w:tcPr>
            <w:tcW w:type="dxa" w:w="46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Parametro</w:t>
            </w:r>
          </w:p>
        </w:tc>
        <w:tc>
          <w:tcPr>
            <w:tcW w:type="dxa" w:w="4693"/>
            <w:tcBorders>
              <w:top w:val="single" w:color="CCCCCC" w:sz="1"/>
              <w:left w:val="single" w:color="CCCCCC" w:sz="1"/>
              <w:bottom w:val="single" w:color="CCCCCC" w:sz="1"/>
              <w:right w:val="single" w:color="CCCCCC" w:sz="1"/>
            </w:tcBorders>
            <w:shd w:fill="1B4F72" w:val="clear"/>
            <w:tcMar>
              <w:top w:type="dxa" w:w="80"/>
              <w:left w:type="dxa" w:w="120"/>
              <w:bottom w:type="dxa" w:w="80"/>
              <w:right w:type="dxa" w:w="120"/>
            </w:tcMar>
          </w:tcPr>
          <w:p>
            <w:r>
              <w:rPr>
                <w:rFonts w:ascii="Calibri" w:cs="Calibri" w:eastAsia="Calibri" w:hAnsi="Calibri"/>
                <w:b/>
                <w:bCs/>
                <w:color w:val="FFFFFF"/>
                <w:sz w:val="20"/>
                <w:szCs w:val="20"/>
              </w:rPr>
              <w:t xml:space="preserve">Valutazione</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Fattibilità tecnica</w:t>
            </w:r>
          </w:p>
        </w:tc>
        <w:tc>
          <w:tcPr>
            <w:tcW w:type="dxa" w:w="46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Nessun ostacolo tecnico rilevante</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Chiarezza requisiti</w:t>
            </w:r>
          </w:p>
        </w:tc>
        <w:tc>
          <w:tcPr>
            <w:tcW w:type="dxa" w:w="469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Buoni ma con gap tra doc strategico e tecnico</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Complessità sviluppo</w:t>
            </w:r>
          </w:p>
        </w:tc>
        <w:tc>
          <w:tcPr>
            <w:tcW w:type="dxa" w:w="4693"/>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Media. Nessun componente critico</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Rischio progettuale</w:t>
            </w:r>
          </w:p>
        </w:tc>
        <w:tc>
          <w:tcPr>
            <w:tcW w:type="dxa" w:w="46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Basso se il perimetro è ben definito</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Potenziale di crescita</w:t>
            </w:r>
          </w:p>
        </w:tc>
        <w:tc>
          <w:tcPr>
            <w:tcW w:type="dxa" w:w="4693"/>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Elevato (portale aziende, B2B)</w:t>
            </w:r>
          </w:p>
        </w:tc>
      </w:tr>
      <w:tr>
        <w:tc>
          <w:tcPr>
            <w:tcW w:type="dxa" w:w="469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b w:val="false"/>
                <w:bCs w:val="false"/>
                <w:color w:val="333333"/>
                <w:sz w:val="20"/>
                <w:szCs w:val="20"/>
              </w:rPr>
              <w:t xml:space="preserve">Adeguatezza GDPR attuale</w:t>
            </w:r>
          </w:p>
        </w:tc>
        <w:tc>
          <w:tcPr>
            <w:tcW w:type="dxa" w:w="4693"/>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r>
              <w:rPr>
                <w:rFonts w:ascii="Calibri" w:cs="Calibri" w:eastAsia="Calibri" w:hAnsi="Calibri"/>
                <w:b w:val="false"/>
                <w:bCs w:val="false"/>
                <w:color w:val="333333"/>
                <w:sz w:val="20"/>
                <w:szCs w:val="20"/>
              </w:rPr>
              <w:t xml:space="preserve">★★☆☆☆ – Richiede integrazioni significative</w:t>
            </w:r>
          </w:p>
        </w:tc>
      </w:tr>
    </w:tbl>
    <w:p>
      <w:pPr>
        <w:spacing w:after="200"/>
      </w:pPr>
    </w:p>
    <w:p>
      <w:pPr>
        <w:spacing w:after="120"/>
        <w:jc w:val="both"/>
      </w:pPr>
      <w:r>
        <w:rPr>
          <w:rFonts w:ascii="Calibri" w:cs="Calibri" w:eastAsia="Calibri" w:hAnsi="Calibri"/>
          <w:sz w:val="22"/>
          <w:szCs w:val="22"/>
        </w:rPr>
        <w:t xml:space="preserve">Il progetto ha un ottimo potenziale e le fondamenta sono solide. La chiave del successo sarà nella definizione precisa del perimetro, nel risolvere le criticità GDPR, e nel non sottovalutare l’effort per la generazione PDF e le iterazioni di design con il cliente.</w:t>
      </w:r>
    </w:p>
    <w:p>
      <w:pPr>
        <w:pBdr>
          <w:top w:val="single" w:color="CCCCCC" w:sz="1" w:space="8"/>
        </w:pBdr>
        <w:spacing w:before="400"/>
      </w:pPr>
      <w:r>
        <w:rPr>
          <w:rFonts w:ascii="Calibri" w:cs="Calibri" w:eastAsia="Calibri" w:hAnsi="Calibri"/>
          <w:i/>
          <w:iCs/>
          <w:color w:val="888888"/>
          <w:sz w:val="18"/>
          <w:szCs w:val="18"/>
        </w:rPr>
        <w:t xml:space="preserve">Documento preparato come analisi tecnica preliminare. Le stime di effort e costo sono indicative e soggette a revisione in fase di definizione dettagliata dei requisiti.</w:t>
      </w:r>
    </w:p>
    <w:sectPr>
      <w:pgSz w:w="11906" w:h="16838"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abstractNum w:abstractNumId="7" w15:restartNumberingAfterBreak="0">
    <w:multiLevelType w:val="hybridMultilevel"/>
    <w:lvl w:ilvl="0" w15:tentative="1">
      <w:start w:val="1"/>
      <w:numFmt w:val="bullet"/>
      <w:lvlText w:val="•"/>
      <w:lvlJc w:val="left"/>
      <w:pPr>
        <w:ind w:left="720" w:hanging="360"/>
      </w:pPr>
    </w:lvl>
  </w:abstractNum>
  <w:abstractNum w:abstractNumId="8" w15:restartNumberingAfterBreak="0">
    <w:multiLevelType w:val="hybridMultilevel"/>
    <w:lvl w:ilvl="0" w15:tentative="1">
      <w:start w:val="1"/>
      <w:numFmt w:val="bullet"/>
      <w:lvlText w:val="•"/>
      <w:lvlJc w:val="left"/>
      <w:pPr>
        <w:ind w:left="720" w:hanging="360"/>
      </w:pPr>
    </w:lvl>
  </w:abstractNum>
  <w:abstractNum w:abstractNumId="9" w15:restartNumberingAfterBreak="0">
    <w:multiLevelType w:val="hybridMultilevel"/>
    <w:lvl w:ilvl="0" w15:tentative="1">
      <w:start w:val="1"/>
      <w:numFmt w:val="bullet"/>
      <w:lvlText w:val="•"/>
      <w:lvlJc w:val="left"/>
      <w:pPr>
        <w:ind w:left="720" w:hanging="360"/>
      </w:pPr>
    </w:lvl>
  </w:abstractNum>
  <w:abstractNum w:abstractNumId="10"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pBdr>
        <w:bottom w:val="single" w:color="1B4F72" w:sz="6" w:space="4"/>
      </w:pBdr>
      <w:spacing w:before="360" w:after="200"/>
      <w:outlineLvl w:val="0"/>
    </w:pPr>
    <w:rPr>
      <w:rFonts w:ascii="Calibri" w:cs="Calibri" w:eastAsia="Calibri" w:hAnsi="Calibri"/>
      <w:b/>
      <w:bCs/>
      <w:color w:val="1B4F72"/>
      <w:sz w:val="32"/>
      <w:szCs w:val="32"/>
    </w:rPr>
  </w:style>
  <w:style w:type="paragraph" w:styleId="Heading2">
    <w:name w:val="Heading 2"/>
    <w:basedOn w:val="Normal"/>
    <w:next w:val="Normal"/>
    <w:qFormat/>
    <w:pPr>
      <w:spacing w:before="240" w:after="150"/>
      <w:outlineLvl w:val="1"/>
    </w:pPr>
    <w:rPr>
      <w:rFonts w:ascii="Calibri" w:cs="Calibri" w:eastAsia="Calibri" w:hAnsi="Calibri"/>
      <w:b/>
      <w:bCs/>
      <w:color w:val="2E86C1"/>
      <w:sz w:val="26"/>
      <w:szCs w:val="26"/>
    </w:rPr>
  </w:style>
  <w:style w:type="paragraph" w:styleId="Heading3">
    <w:name w:val="Heading 3"/>
    <w:basedOn w:val="Normal"/>
    <w:next w:val="Normal"/>
    <w:qFormat/>
    <w:pPr>
      <w:spacing w:before="200" w:after="120"/>
      <w:outlineLvl w:val="2"/>
    </w:pPr>
    <w:rPr>
      <w:rFonts w:ascii="Calibri" w:cs="Calibri" w:eastAsia="Calibri" w:hAnsi="Calibri"/>
      <w:b/>
      <w:bCs/>
      <w:color w:val="2874A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2026-02-16T10:42:38.038Z</dcterms:created>
  <dcterms:modified xsi:type="dcterms:W3CDTF">2026-02-16T10:42:38.039Z</dcterms:modified>
</cp:coreProperties>
</file>

<file path=docProps/custom.xml><?xml version="1.0" encoding="utf-8"?>
<Properties xmlns="http://schemas.openxmlformats.org/officeDocument/2006/custom-properties" xmlns:vt="http://schemas.openxmlformats.org/officeDocument/2006/docPropsVTypes"/>
</file>