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BEF6A6" w14:textId="4D04DD2B" w:rsidR="007B2482" w:rsidRDefault="007B2482">
      <w:r>
        <w:t>Correzioni DVR su impostazione nuovo DVR</w:t>
      </w:r>
    </w:p>
    <w:p w14:paraId="36EA33C7" w14:textId="59F33FEA" w:rsidR="00571F6B" w:rsidRDefault="00571F6B">
      <w:r>
        <w:t>Abbiamo lavorato sulla sede di MEDE</w:t>
      </w:r>
    </w:p>
    <w:p w14:paraId="2BE2EAC3" w14:textId="506C368B" w:rsidR="009641C2" w:rsidRDefault="009641C2">
      <w:r>
        <w:t>VALUTAZIONE</w:t>
      </w:r>
    </w:p>
    <w:p w14:paraId="3F8E17F0" w14:textId="77777777" w:rsidR="007B2482" w:rsidRDefault="007B2482"/>
    <w:p w14:paraId="0D6F27B4" w14:textId="7C52DADC" w:rsidR="007B2482" w:rsidRDefault="007B2482">
      <w:r>
        <w:t>1</w:t>
      </w:r>
    </w:p>
    <w:p w14:paraId="31F0537E" w14:textId="20B6F75B" w:rsidR="007B2482" w:rsidRDefault="007B2482">
      <w:r>
        <w:t>I testi che vengono scelti tramite tendina dovrebbero poi essere editabili mantenendo il punteggio es.</w:t>
      </w:r>
    </w:p>
    <w:p w14:paraId="6EA3CAF3" w14:textId="3B1A6D1A" w:rsidR="007B2482" w:rsidRDefault="007B2482">
      <w:r>
        <w:t xml:space="preserve">Il riscaldamento a </w:t>
      </w:r>
      <w:r w:rsidRPr="007B2482">
        <w:rPr>
          <w:b/>
          <w:bCs/>
        </w:rPr>
        <w:t>gas</w:t>
      </w:r>
      <w:r>
        <w:t xml:space="preserve"> è a norma valutazione 1-1-1</w:t>
      </w:r>
    </w:p>
    <w:p w14:paraId="4B53B9FA" w14:textId="5486D293" w:rsidR="007B2482" w:rsidRDefault="007B2482">
      <w:r>
        <w:t xml:space="preserve">Dovrebbe essere possibile cambiare il testo ma non il voro </w:t>
      </w:r>
    </w:p>
    <w:p w14:paraId="287E0456" w14:textId="3C916771" w:rsidR="007B2482" w:rsidRDefault="007B2482" w:rsidP="007B2482">
      <w:r>
        <w:t xml:space="preserve">Il riscaldamento a </w:t>
      </w:r>
      <w:r w:rsidRPr="007B2482">
        <w:rPr>
          <w:b/>
          <w:bCs/>
        </w:rPr>
        <w:t>carbone</w:t>
      </w:r>
      <w:r>
        <w:t xml:space="preserve"> è a norma valutazione 1-1-1</w:t>
      </w:r>
    </w:p>
    <w:p w14:paraId="48BE7E2E" w14:textId="77777777" w:rsidR="007B2482" w:rsidRDefault="007B2482" w:rsidP="007B2482"/>
    <w:p w14:paraId="211072CB" w14:textId="11A32C27" w:rsidR="007B2482" w:rsidRDefault="007B2482" w:rsidP="007B2482">
      <w:r>
        <w:t>2</w:t>
      </w:r>
    </w:p>
    <w:p w14:paraId="54576B0C" w14:textId="3F3D3434" w:rsidR="007B2482" w:rsidRDefault="007B2482" w:rsidP="007B2482">
      <w:r>
        <w:t>Quando la tendina presenta una sola scelta metterla di default invece di doverla scegliere</w:t>
      </w:r>
    </w:p>
    <w:p w14:paraId="23588C48" w14:textId="77777777" w:rsidR="007B2482" w:rsidRDefault="007B2482" w:rsidP="007B2482"/>
    <w:p w14:paraId="06144B63" w14:textId="539CBA34" w:rsidR="007B2482" w:rsidRDefault="007B2482" w:rsidP="007B2482">
      <w:r>
        <w:t>3</w:t>
      </w:r>
    </w:p>
    <w:p w14:paraId="3C6C0DE7" w14:textId="77777777" w:rsidR="007B2482" w:rsidRDefault="007B2482" w:rsidP="007B2482">
      <w:r>
        <w:t xml:space="preserve">Se l’elenco è composto da più voci come </w:t>
      </w:r>
    </w:p>
    <w:p w14:paraId="6B3991D7" w14:textId="22AE64C0" w:rsidR="007B2482" w:rsidRDefault="007B2482" w:rsidP="007B2482">
      <w:pPr>
        <w:pStyle w:val="Paragrafoelenco"/>
        <w:numPr>
          <w:ilvl w:val="0"/>
          <w:numId w:val="1"/>
        </w:numPr>
      </w:pPr>
      <w:r>
        <w:t>I serramenti …</w:t>
      </w:r>
    </w:p>
    <w:p w14:paraId="7DB4F881" w14:textId="38FEBB8B" w:rsidR="007B2482" w:rsidRDefault="007B2482" w:rsidP="007B2482">
      <w:pPr>
        <w:pStyle w:val="Paragrafoelenco"/>
        <w:numPr>
          <w:ilvl w:val="0"/>
          <w:numId w:val="1"/>
        </w:numPr>
      </w:pPr>
      <w:r>
        <w:t xml:space="preserve">Le </w:t>
      </w:r>
      <w:proofErr w:type="spellStart"/>
      <w:r>
        <w:t>fineste</w:t>
      </w:r>
      <w:proofErr w:type="spellEnd"/>
    </w:p>
    <w:p w14:paraId="49CCAE57" w14:textId="21B82849" w:rsidR="007B2482" w:rsidRDefault="007B2482" w:rsidP="007B2482">
      <w:pPr>
        <w:pStyle w:val="Paragrafoelenco"/>
        <w:numPr>
          <w:ilvl w:val="0"/>
          <w:numId w:val="1"/>
        </w:numPr>
      </w:pPr>
      <w:r>
        <w:t>La porta</w:t>
      </w:r>
    </w:p>
    <w:p w14:paraId="40B81228" w14:textId="7349D584" w:rsidR="007B2482" w:rsidRDefault="007B2482" w:rsidP="007B2482">
      <w:r>
        <w:t>Nel testo non deve comparire il numero 1- ma partire direttamente con la descrizione</w:t>
      </w:r>
    </w:p>
    <w:p w14:paraId="37CAC9AE" w14:textId="72910BEE" w:rsidR="007B2482" w:rsidRDefault="007B2482">
      <w:r>
        <w:t>4</w:t>
      </w:r>
    </w:p>
    <w:p w14:paraId="72C5F3DD" w14:textId="57FFEFC6" w:rsidR="007B2482" w:rsidRDefault="007B2482">
      <w:r>
        <w:t xml:space="preserve">L’indicazione Trascurabile, lieve </w:t>
      </w:r>
      <w:proofErr w:type="spellStart"/>
      <w:r>
        <w:t>etc</w:t>
      </w:r>
      <w:proofErr w:type="spellEnd"/>
      <w:r>
        <w:t xml:space="preserve"> dovrebbe apparire sempre in alto a destra a fianco del titolo</w:t>
      </w:r>
    </w:p>
    <w:p w14:paraId="2832F30C" w14:textId="0FB91034" w:rsidR="007B2482" w:rsidRDefault="007B2482">
      <w:r>
        <w:t>E quando ci sono delle sotto voci comparire sempre a destra della scelta come da esempio sotto che è corretto</w:t>
      </w:r>
    </w:p>
    <w:p w14:paraId="7FF7ED62" w14:textId="6C4EDC6F" w:rsidR="007B2482" w:rsidRDefault="007B2482">
      <w:r>
        <w:rPr>
          <w:noProof/>
        </w:rPr>
        <w:drawing>
          <wp:inline distT="0" distB="0" distL="0" distR="0" wp14:anchorId="286B8589" wp14:editId="6B6FCB35">
            <wp:extent cx="6120130" cy="1605915"/>
            <wp:effectExtent l="0" t="0" r="1270" b="0"/>
            <wp:docPr id="136130356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303565" name="Immagine 1361303565"/>
                    <pic:cNvPicPr/>
                  </pic:nvPicPr>
                  <pic:blipFill>
                    <a:blip r:embed="rId5" cstate="print">
                      <a:extLst>
                        <a:ext uri="{28A0092B-C50C-407E-A947-70E740481C1C}">
                          <a14:useLocalDpi xmlns:a14="http://schemas.microsoft.com/office/drawing/2010/main" val="0"/>
                        </a:ext>
                      </a:extLst>
                    </a:blip>
                    <a:stretch>
                      <a:fillRect/>
                    </a:stretch>
                  </pic:blipFill>
                  <pic:spPr>
                    <a:xfrm>
                      <a:off x="0" y="0"/>
                      <a:ext cx="6120130" cy="1605915"/>
                    </a:xfrm>
                    <a:prstGeom prst="rect">
                      <a:avLst/>
                    </a:prstGeom>
                  </pic:spPr>
                </pic:pic>
              </a:graphicData>
            </a:graphic>
          </wp:inline>
        </w:drawing>
      </w:r>
    </w:p>
    <w:p w14:paraId="6735A89C" w14:textId="7B61C495" w:rsidR="007B2482" w:rsidRDefault="007B2482">
      <w:r>
        <w:lastRenderedPageBreak/>
        <w:t>In molti casi questo non succede faccio l’elenco:</w:t>
      </w:r>
    </w:p>
    <w:p w14:paraId="7F2D85AB" w14:textId="77777777" w:rsidR="009641C2" w:rsidRPr="009641C2" w:rsidRDefault="009641C2" w:rsidP="009641C2">
      <w:pPr>
        <w:rPr>
          <w:b/>
          <w:bCs/>
        </w:rPr>
      </w:pPr>
      <w:r w:rsidRPr="009641C2">
        <w:rPr>
          <w:b/>
          <w:bCs/>
        </w:rPr>
        <w:t>Pavimenti, muri, soffitti, finestre e lucernari</w:t>
      </w:r>
    </w:p>
    <w:p w14:paraId="0E4D0E8C" w14:textId="77777777" w:rsidR="009641C2" w:rsidRPr="009641C2" w:rsidRDefault="009641C2" w:rsidP="009641C2">
      <w:pPr>
        <w:rPr>
          <w:b/>
          <w:bCs/>
        </w:rPr>
      </w:pPr>
      <w:r w:rsidRPr="009641C2">
        <w:rPr>
          <w:b/>
          <w:bCs/>
        </w:rPr>
        <w:t>Porte e portoni</w:t>
      </w:r>
    </w:p>
    <w:p w14:paraId="45FBBC1A" w14:textId="77777777" w:rsidR="009641C2" w:rsidRPr="009641C2" w:rsidRDefault="009641C2" w:rsidP="009641C2">
      <w:pPr>
        <w:rPr>
          <w:b/>
          <w:bCs/>
        </w:rPr>
      </w:pPr>
      <w:r w:rsidRPr="009641C2">
        <w:rPr>
          <w:b/>
          <w:bCs/>
        </w:rPr>
        <w:t>Posti di lavoro e di passaggio e pertinenze</w:t>
      </w:r>
    </w:p>
    <w:p w14:paraId="0393E24B" w14:textId="77777777" w:rsidR="009641C2" w:rsidRPr="009641C2" w:rsidRDefault="009641C2" w:rsidP="009641C2">
      <w:pPr>
        <w:rPr>
          <w:b/>
          <w:bCs/>
        </w:rPr>
      </w:pPr>
      <w:r w:rsidRPr="009641C2">
        <w:rPr>
          <w:b/>
          <w:bCs/>
        </w:rPr>
        <w:t>Microclima</w:t>
      </w:r>
    </w:p>
    <w:p w14:paraId="6DC16A75" w14:textId="77777777" w:rsidR="009641C2" w:rsidRPr="009641C2" w:rsidRDefault="009641C2" w:rsidP="009641C2">
      <w:pPr>
        <w:rPr>
          <w:b/>
          <w:bCs/>
        </w:rPr>
      </w:pPr>
      <w:r w:rsidRPr="009641C2">
        <w:rPr>
          <w:b/>
          <w:bCs/>
        </w:rPr>
        <w:t>Illuminazione naturale e artificiale</w:t>
      </w:r>
    </w:p>
    <w:p w14:paraId="6F750104" w14:textId="77777777" w:rsidR="009641C2" w:rsidRPr="009641C2" w:rsidRDefault="009641C2" w:rsidP="009641C2">
      <w:pPr>
        <w:rPr>
          <w:b/>
          <w:bCs/>
        </w:rPr>
      </w:pPr>
      <w:r w:rsidRPr="009641C2">
        <w:rPr>
          <w:b/>
          <w:bCs/>
        </w:rPr>
        <w:t>Impianti di distribuzione e utilizzazione di gas</w:t>
      </w:r>
    </w:p>
    <w:p w14:paraId="5FBD1359" w14:textId="77777777" w:rsidR="009641C2" w:rsidRPr="009641C2" w:rsidRDefault="009641C2" w:rsidP="009641C2">
      <w:pPr>
        <w:rPr>
          <w:b/>
          <w:bCs/>
        </w:rPr>
      </w:pPr>
      <w:r w:rsidRPr="009641C2">
        <w:rPr>
          <w:b/>
          <w:bCs/>
        </w:rPr>
        <w:t>Categorie protette o lavoratori con altre disabilità</w:t>
      </w:r>
    </w:p>
    <w:p w14:paraId="739C1C7D" w14:textId="4EF77EA1" w:rsidR="009641C2" w:rsidRDefault="009641C2" w:rsidP="009641C2">
      <w:r w:rsidRPr="009641C2">
        <w:t>Rumore</w:t>
      </w:r>
    </w:p>
    <w:p w14:paraId="5C62EA2A" w14:textId="77777777" w:rsidR="009641C2" w:rsidRPr="009641C2" w:rsidRDefault="009641C2" w:rsidP="009641C2">
      <w:pPr>
        <w:rPr>
          <w:b/>
          <w:bCs/>
        </w:rPr>
      </w:pPr>
      <w:r w:rsidRPr="009641C2">
        <w:rPr>
          <w:b/>
          <w:bCs/>
        </w:rPr>
        <w:t>Campi elettromagnetici</w:t>
      </w:r>
    </w:p>
    <w:p w14:paraId="36A043D2" w14:textId="77777777" w:rsidR="009641C2" w:rsidRPr="009641C2" w:rsidRDefault="009641C2" w:rsidP="009641C2">
      <w:pPr>
        <w:rPr>
          <w:b/>
          <w:bCs/>
        </w:rPr>
      </w:pPr>
      <w:r w:rsidRPr="009641C2">
        <w:rPr>
          <w:b/>
          <w:bCs/>
        </w:rPr>
        <w:t>Esplosioni</w:t>
      </w:r>
    </w:p>
    <w:p w14:paraId="22327792" w14:textId="77777777" w:rsidR="009641C2" w:rsidRPr="009641C2" w:rsidRDefault="009641C2" w:rsidP="009641C2">
      <w:pPr>
        <w:rPr>
          <w:b/>
          <w:bCs/>
        </w:rPr>
      </w:pPr>
      <w:r w:rsidRPr="009641C2">
        <w:rPr>
          <w:b/>
          <w:bCs/>
        </w:rPr>
        <w:t>Amianto</w:t>
      </w:r>
    </w:p>
    <w:p w14:paraId="28C5B619" w14:textId="77777777" w:rsidR="009641C2" w:rsidRPr="009641C2" w:rsidRDefault="009641C2" w:rsidP="009641C2">
      <w:pPr>
        <w:rPr>
          <w:b/>
          <w:bCs/>
        </w:rPr>
      </w:pPr>
      <w:r w:rsidRPr="009641C2">
        <w:rPr>
          <w:b/>
          <w:bCs/>
        </w:rPr>
        <w:t>FAV (Fibre Artificiali vetrose)</w:t>
      </w:r>
    </w:p>
    <w:p w14:paraId="347C8F82" w14:textId="3864C899" w:rsidR="009641C2" w:rsidRPr="009641C2" w:rsidRDefault="009641C2" w:rsidP="009641C2">
      <w:pPr>
        <w:rPr>
          <w:b/>
          <w:bCs/>
        </w:rPr>
      </w:pPr>
      <w:r w:rsidRPr="009641C2">
        <w:rPr>
          <w:b/>
          <w:bCs/>
        </w:rPr>
        <w:t>Radon</w:t>
      </w:r>
      <w:r w:rsidR="00B72D1F">
        <w:rPr>
          <w:b/>
          <w:bCs/>
        </w:rPr>
        <w:t xml:space="preserve"> (la voce 1 non genera punteggio)</w:t>
      </w:r>
    </w:p>
    <w:p w14:paraId="3D56AA7A" w14:textId="77777777" w:rsidR="009641C2" w:rsidRDefault="009641C2" w:rsidP="009641C2"/>
    <w:p w14:paraId="5A0BEB82" w14:textId="1656BC9C" w:rsidR="009641C2" w:rsidRDefault="009641C2" w:rsidP="009641C2">
      <w:r>
        <w:t>5</w:t>
      </w:r>
    </w:p>
    <w:p w14:paraId="2BE2A2C2" w14:textId="52B4857B" w:rsidR="009641C2" w:rsidRDefault="009641C2" w:rsidP="009641C2">
      <w:r>
        <w:t xml:space="preserve">Le voci presenti in fondo chiamati altri elementi </w:t>
      </w:r>
    </w:p>
    <w:p w14:paraId="3D53D99D" w14:textId="77777777" w:rsidR="009641C2" w:rsidRPr="009641C2" w:rsidRDefault="009641C2" w:rsidP="009641C2">
      <w:pPr>
        <w:rPr>
          <w:b/>
          <w:bCs/>
        </w:rPr>
      </w:pPr>
      <w:r w:rsidRPr="009641C2">
        <w:rPr>
          <w:b/>
          <w:bCs/>
        </w:rPr>
        <w:t>Servizi igienico assistenziali</w:t>
      </w:r>
    </w:p>
    <w:p w14:paraId="469395A7" w14:textId="77777777" w:rsidR="009641C2" w:rsidRPr="009641C2" w:rsidRDefault="009641C2" w:rsidP="009641C2">
      <w:pPr>
        <w:rPr>
          <w:b/>
          <w:bCs/>
        </w:rPr>
      </w:pPr>
      <w:r w:rsidRPr="009641C2">
        <w:rPr>
          <w:b/>
          <w:bCs/>
        </w:rPr>
        <w:t>Caduta dall’alto</w:t>
      </w:r>
    </w:p>
    <w:p w14:paraId="26E0F4D9" w14:textId="77777777" w:rsidR="009641C2" w:rsidRPr="009641C2" w:rsidRDefault="009641C2" w:rsidP="009641C2"/>
    <w:p w14:paraId="2EFF080F" w14:textId="664C52A0" w:rsidR="009641C2" w:rsidRDefault="009641C2" w:rsidP="009641C2">
      <w:r>
        <w:t>Vanno riposizione alla fine delle voci 1 appena prima del capito 2</w:t>
      </w:r>
    </w:p>
    <w:p w14:paraId="4B8B0E2A" w14:textId="77777777" w:rsidR="009641C2" w:rsidRDefault="009641C2" w:rsidP="009641C2"/>
    <w:p w14:paraId="3391250F" w14:textId="624772FC" w:rsidR="009641C2" w:rsidRDefault="009641C2" w:rsidP="009641C2">
      <w:r>
        <w:t>6</w:t>
      </w:r>
    </w:p>
    <w:p w14:paraId="78C41EFA" w14:textId="333F0A19" w:rsidR="009641C2" w:rsidRPr="009641C2" w:rsidRDefault="009641C2" w:rsidP="009641C2">
      <w:r>
        <w:t>Alcune tendine generano un errore, compare la dicitura errore in rosso quando si sceglie dalla tendina</w:t>
      </w:r>
    </w:p>
    <w:p w14:paraId="7D5CC7F4" w14:textId="64C1A20C" w:rsidR="007B2482" w:rsidRDefault="00B72D1F">
      <w:r>
        <w:t>Rumore</w:t>
      </w:r>
    </w:p>
    <w:p w14:paraId="6BDD8CF7" w14:textId="33B9A75F" w:rsidR="00B72D1F" w:rsidRDefault="00B72D1F">
      <w:r>
        <w:t>Campi elettromagnetici</w:t>
      </w:r>
    </w:p>
    <w:p w14:paraId="64996148" w14:textId="77777777" w:rsidR="00B72D1F" w:rsidRDefault="00B72D1F"/>
    <w:p w14:paraId="119FF34A" w14:textId="40450F43" w:rsidR="00B72D1F" w:rsidRDefault="00B72D1F">
      <w:r>
        <w:t>7</w:t>
      </w:r>
    </w:p>
    <w:p w14:paraId="4080AA65" w14:textId="77777777" w:rsidR="00B72D1F" w:rsidRPr="00B72D1F" w:rsidRDefault="00B72D1F" w:rsidP="00B72D1F">
      <w:pPr>
        <w:rPr>
          <w:b/>
          <w:bCs/>
        </w:rPr>
      </w:pPr>
      <w:r>
        <w:lastRenderedPageBreak/>
        <w:t xml:space="preserve">La voce </w:t>
      </w:r>
      <w:r w:rsidRPr="00B72D1F">
        <w:rPr>
          <w:b/>
          <w:bCs/>
        </w:rPr>
        <w:t>Impianti di distribuzione e utilizzazione di gas</w:t>
      </w:r>
    </w:p>
    <w:p w14:paraId="79D0852B" w14:textId="2315B83D" w:rsidR="00B72D1F" w:rsidRDefault="00B72D1F"/>
    <w:p w14:paraId="2B671A6D" w14:textId="1E5DF5AB" w:rsidR="00B72D1F" w:rsidRDefault="00B72D1F">
      <w:r>
        <w:t>La scelta indica di descrivere la caldaia ma non si può mancano le altre voci c’è solo la prima</w:t>
      </w:r>
    </w:p>
    <w:p w14:paraId="3B703778" w14:textId="77777777" w:rsidR="00B72D1F" w:rsidRDefault="00B72D1F"/>
    <w:p w14:paraId="13775D17" w14:textId="4FCD204F" w:rsidR="00B72D1F" w:rsidRDefault="00B72D1F">
      <w:r>
        <w:t>La voce caduta dall’alto non permette la scelta</w:t>
      </w:r>
    </w:p>
    <w:p w14:paraId="2D6C7409" w14:textId="77777777" w:rsidR="00B72D1F" w:rsidRDefault="00B72D1F"/>
    <w:p w14:paraId="53237882" w14:textId="12D2E281" w:rsidR="00B72D1F" w:rsidRDefault="00B72D1F">
      <w:r>
        <w:t>8</w:t>
      </w:r>
    </w:p>
    <w:p w14:paraId="4E5CE9A3" w14:textId="6CE1CA63" w:rsidR="00B72D1F" w:rsidRDefault="00B72D1F">
      <w:proofErr w:type="spellStart"/>
      <w:r>
        <w:t>Nell’excel</w:t>
      </w:r>
      <w:proofErr w:type="spellEnd"/>
      <w:r>
        <w:t xml:space="preserve"> di base i box gialli richiedono un intervento manuale evidenziare il testo base con +++BOZZA+++</w:t>
      </w:r>
    </w:p>
    <w:p w14:paraId="66FEBA20" w14:textId="77777777" w:rsidR="00571F6B" w:rsidRDefault="00571F6B"/>
    <w:p w14:paraId="480060B9" w14:textId="77777777" w:rsidR="00571F6B" w:rsidRDefault="00571F6B"/>
    <w:p w14:paraId="6CE92F1E" w14:textId="77777777" w:rsidR="00571F6B" w:rsidRDefault="00571F6B"/>
    <w:p w14:paraId="416B6B18" w14:textId="30736F6F" w:rsidR="00571F6B" w:rsidRDefault="00571F6B">
      <w:r>
        <w:t>AREA INCENDIO</w:t>
      </w:r>
    </w:p>
    <w:p w14:paraId="6A2AEB67" w14:textId="77777777" w:rsidR="00571F6B" w:rsidRDefault="00571F6B"/>
    <w:p w14:paraId="08B50E85" w14:textId="4929466F" w:rsidR="00571F6B" w:rsidRDefault="00571F6B">
      <w:r>
        <w:t xml:space="preserve">Punto: </w:t>
      </w:r>
      <w:r w:rsidRPr="00571F6B">
        <w:t>Deroga Art. 65 D. Lgs 81/08</w:t>
      </w:r>
    </w:p>
    <w:p w14:paraId="4F079BD4" w14:textId="1B5B5F00" w:rsidR="00571F6B" w:rsidRDefault="00571F6B">
      <w:r>
        <w:t xml:space="preserve">Inserire testo di default: </w:t>
      </w:r>
      <w:r w:rsidRPr="00571F6B">
        <w:t>L’attività non si svolge in ambienti di lavoro posti in locali sotterranei</w:t>
      </w:r>
    </w:p>
    <w:p w14:paraId="227F3460" w14:textId="77777777" w:rsidR="00571F6B" w:rsidRDefault="00571F6B"/>
    <w:p w14:paraId="445C61A9" w14:textId="77777777" w:rsidR="00571F6B" w:rsidRDefault="00571F6B"/>
    <w:p w14:paraId="62234D54" w14:textId="5CBF02BD" w:rsidR="00571F6B" w:rsidRDefault="00571F6B">
      <w:r>
        <w:t>Area Attività</w:t>
      </w:r>
      <w:r>
        <w:br/>
      </w:r>
      <w:r>
        <w:br/>
        <w:t xml:space="preserve">In questa pagina non devono comparire le attività Trascurabili, ma solo quelle da Lieve a salire, perché quelle trascurabili nessuno ci mette mano come già accade nei DVR che hai generato in precedenza. </w:t>
      </w:r>
    </w:p>
    <w:p w14:paraId="6E709BBB" w14:textId="77777777" w:rsidR="00571F6B" w:rsidRDefault="00571F6B"/>
    <w:p w14:paraId="0E3FEB42" w14:textId="60CBFA6C" w:rsidR="00571F6B" w:rsidRDefault="00571F6B">
      <w:r>
        <w:t xml:space="preserve">Nello storico compaiono tutte le attività che abbiamo modificato durante la compilazione, molto probabilmente registra cose che abbiamo provato o corretto su errore di digitazione è possibile non registrarle? Pensiamoci. </w:t>
      </w:r>
    </w:p>
    <w:p w14:paraId="65686E82" w14:textId="77777777" w:rsidR="00571F6B" w:rsidRDefault="00571F6B"/>
    <w:p w14:paraId="6298D401" w14:textId="77777777" w:rsidR="00571F6B" w:rsidRDefault="00571F6B">
      <w:r>
        <w:t>In queste due voci non si riesce a distinguere se il problema è del condominio o dell’appartamento, come si può fare?</w:t>
      </w:r>
    </w:p>
    <w:p w14:paraId="0DDFAE7F" w14:textId="08DB5D59" w:rsidR="00571F6B" w:rsidRDefault="00571F6B">
      <w:r>
        <w:rPr>
          <w:noProof/>
        </w:rPr>
        <w:lastRenderedPageBreak/>
        <w:drawing>
          <wp:inline distT="0" distB="0" distL="0" distR="0" wp14:anchorId="3C3A63EF" wp14:editId="4F0D2CCA">
            <wp:extent cx="6120130" cy="1200785"/>
            <wp:effectExtent l="0" t="0" r="1270" b="5715"/>
            <wp:docPr id="101862693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626938" name="Immagine 1018626938"/>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20130" cy="1200785"/>
                    </a:xfrm>
                    <a:prstGeom prst="rect">
                      <a:avLst/>
                    </a:prstGeom>
                  </pic:spPr>
                </pic:pic>
              </a:graphicData>
            </a:graphic>
          </wp:inline>
        </w:drawing>
      </w:r>
    </w:p>
    <w:p w14:paraId="4B4C82A7" w14:textId="77777777" w:rsidR="00571F6B" w:rsidRDefault="00571F6B"/>
    <w:p w14:paraId="2F572899" w14:textId="31450AB7" w:rsidR="00571F6B" w:rsidRDefault="00571F6B">
      <w:r>
        <w:t>Quando il problema è trascurabile la risoluzione di default è 1 anno e non immediato</w:t>
      </w:r>
    </w:p>
    <w:p w14:paraId="0E905C2A" w14:textId="7760BA1A" w:rsidR="00571F6B" w:rsidRDefault="00571F6B">
      <w:r>
        <w:rPr>
          <w:noProof/>
        </w:rPr>
        <w:drawing>
          <wp:inline distT="0" distB="0" distL="0" distR="0" wp14:anchorId="54D06657" wp14:editId="63E7CF6B">
            <wp:extent cx="6120130" cy="1233805"/>
            <wp:effectExtent l="0" t="0" r="1270" b="0"/>
            <wp:docPr id="214208914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089143" name="Immagine 2142089143"/>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20130" cy="1233805"/>
                    </a:xfrm>
                    <a:prstGeom prst="rect">
                      <a:avLst/>
                    </a:prstGeom>
                  </pic:spPr>
                </pic:pic>
              </a:graphicData>
            </a:graphic>
          </wp:inline>
        </w:drawing>
      </w:r>
    </w:p>
    <w:p w14:paraId="4FFC211A" w14:textId="77777777" w:rsidR="00D204DB" w:rsidRDefault="00D204DB"/>
    <w:p w14:paraId="7B0A8B10" w14:textId="77777777" w:rsidR="00D204DB" w:rsidRDefault="00D204DB"/>
    <w:p w14:paraId="4DFB06E0" w14:textId="32AFB86A" w:rsidR="00D204DB" w:rsidRDefault="00D204DB">
      <w:r>
        <w:t>PERICOLI</w:t>
      </w:r>
    </w:p>
    <w:p w14:paraId="042E4F71" w14:textId="77777777" w:rsidR="00D204DB" w:rsidRDefault="00D204DB"/>
    <w:p w14:paraId="51D8B741" w14:textId="77777777" w:rsidR="00D204DB" w:rsidRDefault="00D204DB" w:rsidP="00D204DB">
      <w:r>
        <w:t>C’è da sistemare qualche titolo nella parte dei Pericoli</w:t>
      </w:r>
    </w:p>
    <w:p w14:paraId="01FB0B0A" w14:textId="77777777" w:rsidR="00D204DB" w:rsidRDefault="00D204DB" w:rsidP="00D204DB">
      <w:r>
        <w:t>1.9.1 è un sottotitolo, lo tratterei graficamente come il punto 1.9</w:t>
      </w:r>
    </w:p>
    <w:p w14:paraId="16E32A9E" w14:textId="77777777" w:rsidR="00D204DB" w:rsidRDefault="00D204DB" w:rsidP="00D204DB">
      <w:r>
        <w:t>Quindi 1.9 microclima su banda grigia</w:t>
      </w:r>
    </w:p>
    <w:p w14:paraId="23E6BAC8" w14:textId="77777777" w:rsidR="00D204DB" w:rsidRPr="00AD4540" w:rsidRDefault="00D204DB" w:rsidP="00D204DB">
      <w:r>
        <w:t xml:space="preserve">1.9.1 </w:t>
      </w:r>
      <w:r w:rsidRPr="00AD4540">
        <w:t>Aerazione dei luoghi di lavoro chiusi</w:t>
      </w:r>
      <w:r>
        <w:t xml:space="preserve"> sempre su banda grigia togliendo verifica comenti </w:t>
      </w:r>
      <w:proofErr w:type="spellStart"/>
      <w:r>
        <w:t>etc</w:t>
      </w:r>
      <w:proofErr w:type="spellEnd"/>
      <w:r>
        <w:t xml:space="preserve"> resta solo come titolo</w:t>
      </w:r>
    </w:p>
    <w:p w14:paraId="65984ACB" w14:textId="77777777" w:rsidR="00D204DB" w:rsidRDefault="00D204DB" w:rsidP="00D204DB"/>
    <w:p w14:paraId="1E7A3A2B" w14:textId="77777777" w:rsidR="00D204DB" w:rsidRDefault="00D204DB" w:rsidP="00D204DB">
      <w:r>
        <w:rPr>
          <w:noProof/>
        </w:rPr>
        <w:drawing>
          <wp:inline distT="0" distB="0" distL="0" distR="0" wp14:anchorId="58240C2E" wp14:editId="79F41886">
            <wp:extent cx="6120130" cy="1627505"/>
            <wp:effectExtent l="0" t="0" r="1270" b="0"/>
            <wp:docPr id="85701274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012746" name="Immagine 857012746"/>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130" cy="1627505"/>
                    </a:xfrm>
                    <a:prstGeom prst="rect">
                      <a:avLst/>
                    </a:prstGeom>
                  </pic:spPr>
                </pic:pic>
              </a:graphicData>
            </a:graphic>
          </wp:inline>
        </w:drawing>
      </w:r>
    </w:p>
    <w:p w14:paraId="52165717" w14:textId="77777777" w:rsidR="00D204DB" w:rsidRDefault="00D204DB" w:rsidP="00D204DB"/>
    <w:p w14:paraId="3E17F488" w14:textId="77777777" w:rsidR="00D204DB" w:rsidRDefault="00D204DB" w:rsidP="00D204DB">
      <w:r>
        <w:t>Stessa cosa per 1.9.2</w:t>
      </w:r>
    </w:p>
    <w:p w14:paraId="380CE3D1" w14:textId="77777777" w:rsidR="00D204DB" w:rsidRDefault="00D204DB" w:rsidP="00D204DB">
      <w:r>
        <w:t>1.13.1</w:t>
      </w:r>
    </w:p>
    <w:p w14:paraId="618C9DAB" w14:textId="77777777" w:rsidR="00D204DB" w:rsidRDefault="00D204DB" w:rsidP="00D204DB">
      <w:r>
        <w:lastRenderedPageBreak/>
        <w:t>1.13.3</w:t>
      </w:r>
    </w:p>
    <w:p w14:paraId="6A8993AB" w14:textId="77777777" w:rsidR="00D204DB" w:rsidRDefault="00D204DB" w:rsidP="00D204DB">
      <w:r>
        <w:t>1.13.4</w:t>
      </w:r>
    </w:p>
    <w:p w14:paraId="3AF2EC33" w14:textId="77777777" w:rsidR="00D204DB" w:rsidRDefault="00D204DB" w:rsidP="00D204DB">
      <w:r>
        <w:t xml:space="preserve">Va aggiunto il titolo sempre su banda grigia </w:t>
      </w:r>
    </w:p>
    <w:p w14:paraId="145C3BA5" w14:textId="77777777" w:rsidR="00D204DB" w:rsidRPr="00062F6D" w:rsidRDefault="00D204DB" w:rsidP="00D204DB">
      <w:pPr>
        <w:rPr>
          <w:b/>
          <w:bCs/>
        </w:rPr>
      </w:pPr>
      <w:r>
        <w:t xml:space="preserve">1 </w:t>
      </w:r>
      <w:r w:rsidRPr="00062F6D">
        <w:rPr>
          <w:b/>
          <w:bCs/>
        </w:rPr>
        <w:t>AMBIENTI DI LAVORO</w:t>
      </w:r>
    </w:p>
    <w:p w14:paraId="3168D79F" w14:textId="77777777" w:rsidR="00D204DB" w:rsidRPr="00AD4540" w:rsidRDefault="00D204DB" w:rsidP="00D204DB">
      <w:pPr>
        <w:rPr>
          <w:b/>
          <w:bCs/>
        </w:rPr>
      </w:pPr>
      <w:r>
        <w:t xml:space="preserve">2 </w:t>
      </w:r>
      <w:r w:rsidRPr="00AD4540">
        <w:rPr>
          <w:b/>
          <w:bCs/>
        </w:rPr>
        <w:t>PRESENZA NEI LUOGHI DI LAVORO DI AGENTI NOCIVI</w:t>
      </w:r>
    </w:p>
    <w:p w14:paraId="1E24CED2" w14:textId="77777777" w:rsidR="00D204DB" w:rsidRDefault="00D204DB" w:rsidP="00D204DB">
      <w:r>
        <w:t>E</w:t>
      </w:r>
    </w:p>
    <w:p w14:paraId="051F22E3" w14:textId="77777777" w:rsidR="00D204DB" w:rsidRPr="00AD4540" w:rsidRDefault="00D204DB" w:rsidP="00D204DB">
      <w:pPr>
        <w:rPr>
          <w:b/>
          <w:bCs/>
        </w:rPr>
      </w:pPr>
      <w:r>
        <w:t xml:space="preserve">4 </w:t>
      </w:r>
      <w:r w:rsidRPr="00AD4540">
        <w:rPr>
          <w:b/>
          <w:bCs/>
        </w:rPr>
        <w:t>MISURE CONTRO L’INCENDIO E L’ESPLOSIONE</w:t>
      </w:r>
    </w:p>
    <w:p w14:paraId="168A14B7" w14:textId="77777777" w:rsidR="00D204DB" w:rsidRDefault="00D204DB" w:rsidP="00D204DB"/>
    <w:p w14:paraId="4A497770" w14:textId="77777777" w:rsidR="00D204DB" w:rsidRDefault="00D204DB" w:rsidP="00D204DB">
      <w:r>
        <w:t>Eliminare invece il titolo e la banda grigia 4.2</w:t>
      </w:r>
    </w:p>
    <w:p w14:paraId="7F77DE0C" w14:textId="77777777" w:rsidR="00D204DB" w:rsidRDefault="00D204DB" w:rsidP="00D204DB"/>
    <w:p w14:paraId="348E74D0" w14:textId="77777777" w:rsidR="00D204DB" w:rsidRDefault="00D204DB" w:rsidP="00D204DB">
      <w:r>
        <w:t>In generale c’è modo di evidenziare quelle aree che prima erano in viola in modo da rendere più veloce l’individuazione degli elementi da lasciare stare (quelli verdi) da quelli in cui bisogna assolutamente intervenire (quelli viola)</w:t>
      </w:r>
    </w:p>
    <w:p w14:paraId="470CD1C8" w14:textId="77777777" w:rsidR="00D204DB" w:rsidRDefault="00D204DB"/>
    <w:sectPr w:rsidR="00D204D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5B3B74"/>
    <w:multiLevelType w:val="hybridMultilevel"/>
    <w:tmpl w:val="0CE29798"/>
    <w:lvl w:ilvl="0" w:tplc="7734AA3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52259207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482"/>
    <w:rsid w:val="00571F6B"/>
    <w:rsid w:val="007B2482"/>
    <w:rsid w:val="009641C2"/>
    <w:rsid w:val="00B72D1F"/>
    <w:rsid w:val="00D204DB"/>
    <w:rsid w:val="00DA170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100D0DA7"/>
  <w15:chartTrackingRefBased/>
  <w15:docId w15:val="{EF9A7165-94FF-2C4C-91A8-56FCB7861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B2482"/>
  </w:style>
  <w:style w:type="paragraph" w:styleId="Titolo1">
    <w:name w:val="heading 1"/>
    <w:basedOn w:val="Normale"/>
    <w:next w:val="Normale"/>
    <w:link w:val="Titolo1Carattere"/>
    <w:uiPriority w:val="9"/>
    <w:qFormat/>
    <w:rsid w:val="007B24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B24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B248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unhideWhenUsed/>
    <w:qFormat/>
    <w:rsid w:val="007B248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B248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B248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B248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B248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B248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B248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B248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B248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rsid w:val="007B248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B248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B248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B248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B248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B2482"/>
    <w:rPr>
      <w:rFonts w:eastAsiaTheme="majorEastAsia" w:cstheme="majorBidi"/>
      <w:color w:val="272727" w:themeColor="text1" w:themeTint="D8"/>
    </w:rPr>
  </w:style>
  <w:style w:type="paragraph" w:styleId="Titolo">
    <w:name w:val="Title"/>
    <w:basedOn w:val="Normale"/>
    <w:next w:val="Normale"/>
    <w:link w:val="TitoloCarattere"/>
    <w:uiPriority w:val="10"/>
    <w:qFormat/>
    <w:rsid w:val="007B24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B248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B248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B248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B248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B2482"/>
    <w:rPr>
      <w:i/>
      <w:iCs/>
      <w:color w:val="404040" w:themeColor="text1" w:themeTint="BF"/>
    </w:rPr>
  </w:style>
  <w:style w:type="paragraph" w:styleId="Paragrafoelenco">
    <w:name w:val="List Paragraph"/>
    <w:basedOn w:val="Normale"/>
    <w:uiPriority w:val="34"/>
    <w:qFormat/>
    <w:rsid w:val="007B2482"/>
    <w:pPr>
      <w:ind w:left="720"/>
      <w:contextualSpacing/>
    </w:pPr>
  </w:style>
  <w:style w:type="character" w:styleId="Enfasiintensa">
    <w:name w:val="Intense Emphasis"/>
    <w:basedOn w:val="Carpredefinitoparagrafo"/>
    <w:uiPriority w:val="21"/>
    <w:qFormat/>
    <w:rsid w:val="007B2482"/>
    <w:rPr>
      <w:i/>
      <w:iCs/>
      <w:color w:val="0F4761" w:themeColor="accent1" w:themeShade="BF"/>
    </w:rPr>
  </w:style>
  <w:style w:type="paragraph" w:styleId="Citazioneintensa">
    <w:name w:val="Intense Quote"/>
    <w:basedOn w:val="Normale"/>
    <w:next w:val="Normale"/>
    <w:link w:val="CitazioneintensaCarattere"/>
    <w:uiPriority w:val="30"/>
    <w:qFormat/>
    <w:rsid w:val="007B24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B2482"/>
    <w:rPr>
      <w:i/>
      <w:iCs/>
      <w:color w:val="0F4761" w:themeColor="accent1" w:themeShade="BF"/>
    </w:rPr>
  </w:style>
  <w:style w:type="character" w:styleId="Riferimentointenso">
    <w:name w:val="Intense Reference"/>
    <w:basedOn w:val="Carpredefinitoparagrafo"/>
    <w:uiPriority w:val="32"/>
    <w:qFormat/>
    <w:rsid w:val="007B248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565</Words>
  <Characters>2915</Characters>
  <Application>Microsoft Office Word</Application>
  <DocSecurity>0</DocSecurity>
  <Lines>104</Lines>
  <Paragraphs>80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Cristiano Ballerani - Inlumia</dc:creator>
  <cp:keywords/>
  <dc:description/>
  <cp:lastModifiedBy>Cristiano Ballerani - Inlumia</cp:lastModifiedBy>
  <cp:revision>1</cp:revision>
  <dcterms:created xsi:type="dcterms:W3CDTF">2026-08-06T15:06:00Z</dcterms:created>
  <dcterms:modified xsi:type="dcterms:W3CDTF">2026-08-06T15:47:00Z</dcterms:modified>
</cp:coreProperties>
</file>